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FF" w:rsidRPr="00175957" w:rsidRDefault="00C337D1" w:rsidP="001F4D09">
      <w:pPr>
        <w:spacing w:after="0" w:line="280" w:lineRule="auto"/>
        <w:jc w:val="right"/>
        <w:rPr>
          <w:b/>
          <w:i/>
          <w:sz w:val="28"/>
          <w:szCs w:val="28"/>
          <w:lang w:val="nl-BE"/>
        </w:rPr>
      </w:pPr>
      <w:bookmarkStart w:id="0" w:name="_GoBack"/>
      <w:bookmarkEnd w:id="0"/>
      <w:r w:rsidRPr="00175957">
        <w:rPr>
          <w:b/>
          <w:sz w:val="28"/>
          <w:szCs w:val="28"/>
          <w:lang w:val="nl-BE"/>
        </w:rPr>
        <w:tab/>
      </w:r>
      <w:r w:rsidRPr="00175957">
        <w:rPr>
          <w:b/>
          <w:sz w:val="28"/>
          <w:szCs w:val="28"/>
          <w:lang w:val="nl-BE"/>
        </w:rPr>
        <w:tab/>
      </w:r>
      <w:r w:rsidRPr="00175957">
        <w:rPr>
          <w:b/>
          <w:sz w:val="28"/>
          <w:szCs w:val="28"/>
          <w:lang w:val="nl-BE"/>
        </w:rPr>
        <w:tab/>
      </w:r>
      <w:r w:rsidRPr="00175957">
        <w:rPr>
          <w:b/>
          <w:sz w:val="28"/>
          <w:szCs w:val="28"/>
          <w:lang w:val="nl-BE"/>
        </w:rPr>
        <w:tab/>
      </w:r>
      <w:r w:rsidRPr="00175957">
        <w:rPr>
          <w:b/>
          <w:sz w:val="28"/>
          <w:szCs w:val="28"/>
          <w:lang w:val="nl-BE"/>
        </w:rPr>
        <w:tab/>
      </w:r>
      <w:r w:rsidRPr="00175957">
        <w:rPr>
          <w:b/>
          <w:sz w:val="28"/>
          <w:szCs w:val="28"/>
          <w:lang w:val="nl-BE"/>
        </w:rPr>
        <w:tab/>
      </w:r>
      <w:r w:rsidR="001F4D09" w:rsidRPr="00175957">
        <w:rPr>
          <w:b/>
          <w:i/>
          <w:sz w:val="28"/>
          <w:szCs w:val="28"/>
          <w:lang w:val="nl-BE"/>
        </w:rPr>
        <w:t>Persbericht</w:t>
      </w:r>
    </w:p>
    <w:p w:rsidR="00CA0934" w:rsidRPr="00175957" w:rsidRDefault="00E32F1B" w:rsidP="00E32F1B">
      <w:pPr>
        <w:tabs>
          <w:tab w:val="left" w:pos="7864"/>
        </w:tabs>
        <w:spacing w:after="0" w:line="240" w:lineRule="auto"/>
        <w:rPr>
          <w:rFonts w:ascii="Arial" w:hAnsi="Arial" w:cs="Arial"/>
          <w:b/>
          <w:color w:val="E36C0A"/>
          <w:sz w:val="28"/>
          <w:szCs w:val="24"/>
          <w:lang w:val="nl-BE"/>
        </w:rPr>
      </w:pPr>
      <w:r w:rsidRPr="00175957">
        <w:rPr>
          <w:rFonts w:ascii="Arial" w:hAnsi="Arial" w:cs="Arial"/>
          <w:b/>
          <w:color w:val="E36C0A"/>
          <w:sz w:val="28"/>
          <w:szCs w:val="24"/>
          <w:lang w:val="nl-BE"/>
        </w:rPr>
        <w:tab/>
      </w:r>
    </w:p>
    <w:p w:rsidR="00E4056C" w:rsidRPr="00175957" w:rsidRDefault="00FB4E62" w:rsidP="00DC6956">
      <w:pPr>
        <w:spacing w:after="0" w:line="240" w:lineRule="auto"/>
        <w:jc w:val="center"/>
        <w:rPr>
          <w:rFonts w:ascii="Arial" w:hAnsi="Arial" w:cs="Arial"/>
          <w:b/>
          <w:color w:val="E36C0A"/>
          <w:sz w:val="28"/>
          <w:szCs w:val="24"/>
          <w:lang w:val="nl-BE"/>
        </w:rPr>
      </w:pPr>
      <w:r>
        <w:rPr>
          <w:rFonts w:ascii="Arial" w:hAnsi="Arial" w:cs="Arial"/>
          <w:color w:val="E36C0A"/>
          <w:sz w:val="28"/>
          <w:szCs w:val="24"/>
          <w:lang w:val="nl-BE"/>
        </w:rPr>
        <w:t>De Vlaamse voedingsindustrie engageert zich tegen voedselverlies</w:t>
      </w:r>
    </w:p>
    <w:p w:rsidR="00FB4E62" w:rsidRPr="00FB4E62" w:rsidRDefault="00146A17" w:rsidP="00FB4E62">
      <w:pPr>
        <w:rPr>
          <w:b/>
          <w:bCs/>
          <w:lang w:val="nl-NL"/>
        </w:rPr>
      </w:pPr>
      <w:r w:rsidRPr="00175957">
        <w:rPr>
          <w:rFonts w:cs="Helvetica"/>
          <w:b/>
          <w:bCs/>
          <w:color w:val="000000"/>
          <w:lang w:val="nl-BE"/>
        </w:rPr>
        <w:br/>
      </w:r>
      <w:r w:rsidR="00FB4E62" w:rsidRPr="00FB4E62">
        <w:rPr>
          <w:b/>
          <w:bCs/>
          <w:lang w:val="nl-NL"/>
        </w:rPr>
        <w:t xml:space="preserve">Vandaag 31 maart, neemt FEVIA Vlaanderen het engagement om, samen met Minister-President Kris Peeters en de andere schakels van de keten, de voedselverliezen zo veel mogelijk te beperken. Jan Vander Stichele, voorzitter van FEVIA Vlaanderen, bevestigt op deze manier de inspanningen van  </w:t>
      </w:r>
      <w:r w:rsidR="00D609C3">
        <w:rPr>
          <w:b/>
          <w:bCs/>
          <w:lang w:val="nl-NL"/>
        </w:rPr>
        <w:t>de ondernemingen van de voedingsindustrie</w:t>
      </w:r>
      <w:r w:rsidR="00FB4E62" w:rsidRPr="00FB4E62">
        <w:rPr>
          <w:b/>
          <w:bCs/>
          <w:lang w:val="nl-NL"/>
        </w:rPr>
        <w:t>.</w:t>
      </w:r>
    </w:p>
    <w:p w:rsidR="00E34CA9" w:rsidRPr="00FB4E62" w:rsidRDefault="00E34CA9" w:rsidP="00FB3195">
      <w:pPr>
        <w:spacing w:after="0" w:line="240" w:lineRule="auto"/>
        <w:jc w:val="both"/>
        <w:rPr>
          <w:rFonts w:cs="Helvetica"/>
          <w:b/>
          <w:bCs/>
          <w:color w:val="000000"/>
          <w:lang w:val="nl-NL"/>
        </w:rPr>
      </w:pPr>
    </w:p>
    <w:p w:rsidR="00FB4E62" w:rsidRPr="00612FF7" w:rsidRDefault="00FB4E62" w:rsidP="00FB4E62">
      <w:pPr>
        <w:rPr>
          <w:rFonts w:asciiTheme="minorHAnsi" w:hAnsiTheme="minorHAnsi" w:cs="Arial"/>
          <w:i/>
          <w:lang w:val="nl-BE"/>
        </w:rPr>
      </w:pPr>
      <w:r w:rsidRPr="00612FF7">
        <w:rPr>
          <w:rFonts w:asciiTheme="minorHAnsi" w:hAnsiTheme="minorHAnsi" w:cs="Arial"/>
          <w:i/>
          <w:lang w:val="nl-BE"/>
        </w:rPr>
        <w:t xml:space="preserve">In  productiebedrijven is voedselverspilling absoluut te vermijden : grondstoffen en producten zijn te duur om ze weg te gooien. Toch </w:t>
      </w:r>
      <w:r w:rsidR="00B013E6" w:rsidRPr="00612FF7">
        <w:rPr>
          <w:rFonts w:asciiTheme="minorHAnsi" w:hAnsiTheme="minorHAnsi" w:cs="Arial"/>
          <w:i/>
          <w:lang w:val="nl-BE"/>
        </w:rPr>
        <w:t xml:space="preserve">ontstaan er  nog </w:t>
      </w:r>
      <w:r w:rsidRPr="00612FF7">
        <w:rPr>
          <w:rFonts w:asciiTheme="minorHAnsi" w:hAnsiTheme="minorHAnsi" w:cs="Arial"/>
          <w:i/>
          <w:lang w:val="nl-BE"/>
        </w:rPr>
        <w:t xml:space="preserve">verliezen. </w:t>
      </w:r>
      <w:r w:rsidR="00B013E6" w:rsidRPr="00612FF7">
        <w:rPr>
          <w:rFonts w:asciiTheme="minorHAnsi" w:hAnsiTheme="minorHAnsi" w:cs="Arial"/>
          <w:i/>
          <w:lang w:val="nl-BE"/>
        </w:rPr>
        <w:t>IN</w:t>
      </w:r>
      <w:r w:rsidRPr="00612FF7">
        <w:rPr>
          <w:rFonts w:asciiTheme="minorHAnsi" w:hAnsiTheme="minorHAnsi" w:cs="Arial"/>
          <w:i/>
          <w:lang w:val="nl-BE"/>
        </w:rPr>
        <w:t xml:space="preserve"> 2013 heeft FEVIA Vlaanderen in het kader van het Nieuw Industrieel Beleid en met de steun van Agentschap Ondernemen een belangrijk project gelanceerd om de omvang van deze verliezen beter in te schatten,  de oorzaken te identificeren en een actieplan voor te stellen.</w:t>
      </w:r>
    </w:p>
    <w:p w:rsidR="00FB4E62" w:rsidRPr="00612FF7" w:rsidRDefault="00FB4E62" w:rsidP="00FB4E62">
      <w:pPr>
        <w:rPr>
          <w:rFonts w:asciiTheme="minorHAnsi" w:hAnsiTheme="minorHAnsi" w:cs="Arial"/>
          <w:i/>
          <w:lang w:val="nl-BE"/>
        </w:rPr>
      </w:pPr>
      <w:r w:rsidRPr="00612FF7">
        <w:rPr>
          <w:rFonts w:asciiTheme="minorHAnsi" w:hAnsiTheme="minorHAnsi" w:cs="Arial"/>
          <w:i/>
          <w:lang w:val="nl-BE"/>
        </w:rPr>
        <w:t xml:space="preserve">Deze belangrijke oefening heeft aangetoond dat in de </w:t>
      </w:r>
      <w:r w:rsidR="00D609C3" w:rsidRPr="00612FF7">
        <w:rPr>
          <w:bCs/>
          <w:lang w:val="nl-NL"/>
        </w:rPr>
        <w:t>ondernemingen van de voedingsindustrie</w:t>
      </w:r>
      <w:r w:rsidR="00D609C3" w:rsidRPr="00612FF7">
        <w:rPr>
          <w:rFonts w:asciiTheme="minorHAnsi" w:hAnsiTheme="minorHAnsi" w:cs="Arial"/>
          <w:i/>
          <w:lang w:val="nl-BE"/>
        </w:rPr>
        <w:t xml:space="preserve"> </w:t>
      </w:r>
      <w:r w:rsidRPr="00612FF7">
        <w:rPr>
          <w:rFonts w:asciiTheme="minorHAnsi" w:hAnsiTheme="minorHAnsi" w:cs="Arial"/>
          <w:i/>
          <w:lang w:val="nl-BE"/>
        </w:rPr>
        <w:t>gemiddeld ongeveer 2,4 % van de voeding verloren gaat. Relatief weinig maar in absolute termen nog te hoog. De belangrijkste oorzaken liggen bij menselijke fouten, machines die niet goed genoeg werken of producten die niet correct verpakt zijn. Ook bij de wisseling en het opstarten van productielijnen kunnen verliezen optreden.</w:t>
      </w:r>
      <w:r w:rsidRPr="00612FF7" w:rsidDel="00847E8D">
        <w:rPr>
          <w:rFonts w:asciiTheme="minorHAnsi" w:hAnsiTheme="minorHAnsi" w:cs="Arial"/>
          <w:i/>
          <w:lang w:val="nl-BE"/>
        </w:rPr>
        <w:t xml:space="preserve"> </w:t>
      </w:r>
    </w:p>
    <w:p w:rsidR="00FB4E62" w:rsidRPr="00612FF7" w:rsidRDefault="00FB4E62" w:rsidP="00FB4E62">
      <w:pPr>
        <w:rPr>
          <w:rFonts w:asciiTheme="minorHAnsi" w:hAnsiTheme="minorHAnsi" w:cs="Arial"/>
          <w:i/>
          <w:lang w:val="nl-BE"/>
        </w:rPr>
      </w:pPr>
      <w:r w:rsidRPr="00612FF7">
        <w:rPr>
          <w:rFonts w:asciiTheme="minorHAnsi" w:hAnsiTheme="minorHAnsi" w:cs="Arial"/>
          <w:i/>
          <w:lang w:val="nl-BE"/>
        </w:rPr>
        <w:t>Het genoemde project heeft aangetoond dat maatregelen mogelijk zijn om voedselverlies nog verder te beperken . Veel bedrijven passen deze maatregelen al toe maar door sensibilisatie, opleiding en vorming kunnen ze veralgemeend worden : het gaat o.a. om het gebruik van indicatoren, optimalisatie van de productieplanning, productie-onderhoudsprogramma’s,… In de komende maanden zal FEVIA Vlaanderen samen met de opleidingsinstituut IPV en het innovatiesteunpunt Flanders’ Food de bedrijven aanzetten om nog meer aandacht te besteden aan deze problematiek.</w:t>
      </w:r>
    </w:p>
    <w:p w:rsidR="00FB4E62" w:rsidRPr="00612FF7" w:rsidRDefault="00FB4E62" w:rsidP="00FB4E62">
      <w:pPr>
        <w:rPr>
          <w:rFonts w:asciiTheme="minorHAnsi" w:hAnsiTheme="minorHAnsi" w:cs="Arial"/>
          <w:i/>
          <w:lang w:val="nl-BE"/>
        </w:rPr>
      </w:pPr>
      <w:r w:rsidRPr="00612FF7">
        <w:rPr>
          <w:rFonts w:asciiTheme="minorHAnsi" w:hAnsiTheme="minorHAnsi" w:cs="Arial"/>
          <w:i/>
          <w:lang w:val="nl-BE"/>
        </w:rPr>
        <w:t xml:space="preserve">Ondanks al deze inspanningen zullen uiteindelijk toch altijd producten gemaakt worden die niet verkocht </w:t>
      </w:r>
      <w:r w:rsidR="00B013E6" w:rsidRPr="00612FF7">
        <w:rPr>
          <w:rFonts w:asciiTheme="minorHAnsi" w:hAnsiTheme="minorHAnsi" w:cs="Arial"/>
          <w:i/>
          <w:lang w:val="nl-BE"/>
        </w:rPr>
        <w:t>ge</w:t>
      </w:r>
      <w:r w:rsidRPr="00612FF7">
        <w:rPr>
          <w:rFonts w:asciiTheme="minorHAnsi" w:hAnsiTheme="minorHAnsi" w:cs="Arial"/>
          <w:i/>
          <w:lang w:val="nl-BE"/>
        </w:rPr>
        <w:t xml:space="preserve">raken. Hiervoor is de schenking aan de caritatieve instellingen de aangewezen weg. De voedingsbedrijven werken sinds jaren intensief samen met de voedselbanken en andere caritatieve instellingen. In 2012 hebben de </w:t>
      </w:r>
      <w:r w:rsidR="00B013E6" w:rsidRPr="00612FF7">
        <w:rPr>
          <w:bCs/>
          <w:lang w:val="nl-NL"/>
        </w:rPr>
        <w:t>ondernemingen van de voedingsindustrie</w:t>
      </w:r>
      <w:r w:rsidR="00B013E6" w:rsidRPr="00612FF7">
        <w:rPr>
          <w:rFonts w:asciiTheme="minorHAnsi" w:hAnsiTheme="minorHAnsi" w:cs="Arial"/>
          <w:i/>
          <w:lang w:val="nl-BE"/>
        </w:rPr>
        <w:t xml:space="preserve"> </w:t>
      </w:r>
      <w:r w:rsidRPr="00612FF7">
        <w:rPr>
          <w:rFonts w:asciiTheme="minorHAnsi" w:hAnsiTheme="minorHAnsi" w:cs="Arial"/>
          <w:i/>
          <w:lang w:val="nl-BE"/>
        </w:rPr>
        <w:t xml:space="preserve">3.000 t. voedingsproducten aan de voedselbanken geschonken. Dit betekent 25 % van de bevoorrading van de voedselbanken. Daarnaast geven zeer veel </w:t>
      </w:r>
      <w:r w:rsidR="00B013E6" w:rsidRPr="00612FF7">
        <w:rPr>
          <w:bCs/>
          <w:lang w:val="nl-NL"/>
        </w:rPr>
        <w:t>ondernemingen van de voedingsindustrie</w:t>
      </w:r>
      <w:r w:rsidR="00B013E6" w:rsidRPr="00612FF7">
        <w:rPr>
          <w:rFonts w:asciiTheme="minorHAnsi" w:hAnsiTheme="minorHAnsi" w:cs="Arial"/>
          <w:i/>
          <w:lang w:val="nl-BE"/>
        </w:rPr>
        <w:t xml:space="preserve"> </w:t>
      </w:r>
      <w:r w:rsidRPr="00612FF7">
        <w:rPr>
          <w:rFonts w:asciiTheme="minorHAnsi" w:hAnsiTheme="minorHAnsi" w:cs="Arial"/>
          <w:i/>
          <w:lang w:val="nl-BE"/>
        </w:rPr>
        <w:t>onverkochte producten aan andere lokale caritatieve instellingen. FEVIA Vlaanderen zal  de bedrijven blijven aansporen om deze belangrijke samenwerking niet alleen verder te zetten, maar zelfs nog te ver</w:t>
      </w:r>
      <w:r w:rsidR="00B013E6" w:rsidRPr="00612FF7">
        <w:rPr>
          <w:rFonts w:asciiTheme="minorHAnsi" w:hAnsiTheme="minorHAnsi" w:cs="Arial"/>
          <w:i/>
          <w:lang w:val="nl-BE"/>
        </w:rPr>
        <w:t>sterken</w:t>
      </w:r>
      <w:r w:rsidRPr="00612FF7">
        <w:rPr>
          <w:rFonts w:asciiTheme="minorHAnsi" w:hAnsiTheme="minorHAnsi" w:cs="Arial"/>
          <w:i/>
          <w:lang w:val="nl-BE"/>
        </w:rPr>
        <w:t>.</w:t>
      </w:r>
    </w:p>
    <w:p w:rsidR="00FB4E62" w:rsidRPr="00612FF7" w:rsidRDefault="00B013E6" w:rsidP="00FB4E62">
      <w:pPr>
        <w:rPr>
          <w:rFonts w:asciiTheme="minorHAnsi" w:hAnsiTheme="minorHAnsi" w:cs="Arial"/>
          <w:i/>
          <w:lang w:val="nl-BE"/>
        </w:rPr>
      </w:pPr>
      <w:r w:rsidRPr="00612FF7">
        <w:rPr>
          <w:rFonts w:asciiTheme="minorHAnsi" w:hAnsiTheme="minorHAnsi" w:cs="Arial"/>
          <w:i/>
          <w:lang w:val="nl-BE"/>
        </w:rPr>
        <w:t>Allen s</w:t>
      </w:r>
      <w:r w:rsidR="00FB4E62" w:rsidRPr="00612FF7">
        <w:rPr>
          <w:rFonts w:asciiTheme="minorHAnsi" w:hAnsiTheme="minorHAnsi" w:cs="Arial"/>
          <w:i/>
          <w:lang w:val="nl-BE"/>
        </w:rPr>
        <w:t xml:space="preserve">amen tegen voedselverlies! De </w:t>
      </w:r>
      <w:r w:rsidRPr="00612FF7">
        <w:rPr>
          <w:bCs/>
          <w:lang w:val="nl-NL"/>
        </w:rPr>
        <w:t>ondernemingen van de voedingsindustrie</w:t>
      </w:r>
      <w:r w:rsidRPr="00612FF7">
        <w:rPr>
          <w:rFonts w:asciiTheme="minorHAnsi" w:hAnsiTheme="minorHAnsi" w:cs="Arial"/>
          <w:i/>
          <w:lang w:val="nl-BE"/>
        </w:rPr>
        <w:t xml:space="preserve"> </w:t>
      </w:r>
      <w:r w:rsidR="00FB4E62" w:rsidRPr="00612FF7">
        <w:rPr>
          <w:rFonts w:asciiTheme="minorHAnsi" w:hAnsiTheme="minorHAnsi" w:cs="Arial"/>
          <w:i/>
          <w:lang w:val="nl-BE"/>
        </w:rPr>
        <w:t>nemen hun verantwoordelijkheid.</w:t>
      </w:r>
    </w:p>
    <w:p w:rsidR="002D16F0" w:rsidRPr="00175957" w:rsidRDefault="002D16F0" w:rsidP="00FB05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ArialMT"/>
          <w:b/>
          <w:color w:val="000000"/>
          <w:lang w:val="nl-BE"/>
        </w:rPr>
      </w:pPr>
      <w:r w:rsidRPr="00175957">
        <w:rPr>
          <w:rFonts w:cs="ArialMT"/>
          <w:color w:val="000000"/>
          <w:lang w:val="nl-BE"/>
        </w:rPr>
        <w:t>* * *</w:t>
      </w:r>
    </w:p>
    <w:p w:rsidR="00AB281A" w:rsidRPr="00175957" w:rsidRDefault="00AB281A"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b/>
          <w:color w:val="000000"/>
          <w:lang w:val="nl-BE"/>
        </w:rPr>
      </w:pPr>
    </w:p>
    <w:p w:rsidR="002D16F0" w:rsidRPr="00175957" w:rsidRDefault="001F4D09"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b/>
          <w:color w:val="000000"/>
          <w:lang w:val="nl-BE"/>
        </w:rPr>
      </w:pPr>
      <w:r w:rsidRPr="00175957">
        <w:rPr>
          <w:rFonts w:cs="ArialMT"/>
          <w:b/>
          <w:color w:val="000000"/>
          <w:lang w:val="nl-BE"/>
        </w:rPr>
        <w:t>Voor meer informatie:</w:t>
      </w:r>
    </w:p>
    <w:p w:rsidR="002A3983" w:rsidRPr="00175957" w:rsidRDefault="002A3983"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b/>
          <w:color w:val="000000"/>
          <w:lang w:val="nl-BE"/>
        </w:rPr>
      </w:pPr>
    </w:p>
    <w:p w:rsidR="002D16F0" w:rsidRPr="00175957" w:rsidRDefault="00FB4E62"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Cs/>
          <w:lang w:val="nl-BE"/>
        </w:rPr>
      </w:pPr>
      <w:r>
        <w:rPr>
          <w:rFonts w:cs="Calibri"/>
          <w:bCs/>
          <w:lang w:val="nl-BE"/>
        </w:rPr>
        <w:lastRenderedPageBreak/>
        <w:t>Jan Vander Stichele</w:t>
      </w:r>
    </w:p>
    <w:p w:rsidR="002D16F0" w:rsidRPr="00175957" w:rsidRDefault="001F4D09"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Cs/>
          <w:lang w:val="nl-BE"/>
        </w:rPr>
      </w:pPr>
      <w:r w:rsidRPr="00175957">
        <w:rPr>
          <w:rFonts w:cs="Calibri"/>
          <w:bCs/>
          <w:lang w:val="nl-BE"/>
        </w:rPr>
        <w:t>Voorzitter van F</w:t>
      </w:r>
      <w:r w:rsidR="00A24412" w:rsidRPr="00175957">
        <w:rPr>
          <w:rFonts w:cs="Calibri"/>
          <w:bCs/>
          <w:lang w:val="nl-BE"/>
        </w:rPr>
        <w:t>EVIA</w:t>
      </w:r>
      <w:r w:rsidR="00FB4E62">
        <w:rPr>
          <w:rFonts w:cs="Calibri"/>
          <w:bCs/>
          <w:lang w:val="nl-BE"/>
        </w:rPr>
        <w:t xml:space="preserve"> Vlaanderen</w:t>
      </w:r>
      <w:r w:rsidRPr="00175957">
        <w:rPr>
          <w:rFonts w:cs="Calibri"/>
          <w:bCs/>
          <w:lang w:val="nl-BE"/>
        </w:rPr>
        <w:br/>
        <w:t>GSM:</w:t>
      </w:r>
      <w:r w:rsidR="00D10248" w:rsidRPr="00175957">
        <w:rPr>
          <w:lang w:val="nl-BE"/>
        </w:rPr>
        <w:t xml:space="preserve"> </w:t>
      </w:r>
      <w:r w:rsidR="00CD6E0E" w:rsidRPr="00175957">
        <w:rPr>
          <w:lang w:val="nl-BE"/>
        </w:rPr>
        <w:t>+32.</w:t>
      </w:r>
      <w:r w:rsidR="00FB4E62">
        <w:rPr>
          <w:lang w:val="nl-BE"/>
        </w:rPr>
        <w:t>495.59 35 28</w:t>
      </w:r>
    </w:p>
    <w:p w:rsidR="002D16F0" w:rsidRPr="008F541F" w:rsidRDefault="001F4D09"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Calibri"/>
          <w:bCs/>
          <w:lang w:val="it-IT"/>
        </w:rPr>
      </w:pPr>
      <w:r w:rsidRPr="008F541F">
        <w:rPr>
          <w:rFonts w:cs="Calibri"/>
          <w:bCs/>
          <w:lang w:val="it-IT"/>
        </w:rPr>
        <w:t>E-mail:</w:t>
      </w:r>
      <w:r w:rsidR="002D16F0" w:rsidRPr="008F541F">
        <w:rPr>
          <w:rFonts w:cs="Calibri"/>
          <w:bCs/>
          <w:lang w:val="it-IT"/>
        </w:rPr>
        <w:t xml:space="preserve"> </w:t>
      </w:r>
      <w:r w:rsidR="00FB4E62" w:rsidRPr="00FB4E62">
        <w:rPr>
          <w:rFonts w:cs="Calibri"/>
          <w:bCs/>
          <w:lang w:val="it-IT"/>
        </w:rPr>
        <w:t>jan.vanderstichele@lotusbakeries.com</w:t>
      </w:r>
    </w:p>
    <w:p w:rsidR="002D16F0" w:rsidRPr="008F541F" w:rsidRDefault="002D16F0" w:rsidP="002D16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b/>
          <w:color w:val="000000"/>
          <w:lang w:val="it-IT"/>
        </w:rPr>
      </w:pPr>
    </w:p>
    <w:p w:rsidR="002D16F0" w:rsidRPr="00175957" w:rsidRDefault="00FB4E62" w:rsidP="002D16F0">
      <w:pPr>
        <w:pStyle w:val="Footer"/>
        <w:rPr>
          <w:rFonts w:cs="Calibri"/>
          <w:bCs/>
        </w:rPr>
      </w:pPr>
      <w:r>
        <w:rPr>
          <w:rFonts w:cs="Calibri"/>
          <w:bCs/>
        </w:rPr>
        <w:t>Claire Bosch</w:t>
      </w:r>
    </w:p>
    <w:p w:rsidR="002D16F0" w:rsidRPr="00175957" w:rsidRDefault="00FB4E62" w:rsidP="002D16F0">
      <w:pPr>
        <w:pStyle w:val="Footer"/>
        <w:rPr>
          <w:rFonts w:cs="Calibri"/>
          <w:bCs/>
        </w:rPr>
      </w:pPr>
      <w:r>
        <w:rPr>
          <w:rFonts w:cs="Calibri"/>
          <w:bCs/>
        </w:rPr>
        <w:t>Secretaris</w:t>
      </w:r>
      <w:r w:rsidR="001F4D09" w:rsidRPr="00175957">
        <w:rPr>
          <w:rFonts w:cs="Calibri"/>
          <w:bCs/>
        </w:rPr>
        <w:t>-generaal van FEVIA</w:t>
      </w:r>
      <w:r>
        <w:rPr>
          <w:rFonts w:cs="Calibri"/>
          <w:bCs/>
        </w:rPr>
        <w:t xml:space="preserve"> Vlaanderen</w:t>
      </w:r>
    </w:p>
    <w:p w:rsidR="002D16F0" w:rsidRPr="008F541F" w:rsidRDefault="001F4D09" w:rsidP="002D16F0">
      <w:pPr>
        <w:pStyle w:val="Footer"/>
        <w:rPr>
          <w:rFonts w:cs="Calibri"/>
          <w:lang w:val="it-IT"/>
        </w:rPr>
      </w:pPr>
      <w:r w:rsidRPr="008F541F">
        <w:rPr>
          <w:rFonts w:cs="Calibri"/>
          <w:lang w:val="it-IT"/>
        </w:rPr>
        <w:t>GSM:</w:t>
      </w:r>
      <w:r w:rsidR="002D16F0" w:rsidRPr="008F541F">
        <w:rPr>
          <w:rFonts w:cs="Calibri"/>
          <w:lang w:val="it-IT"/>
        </w:rPr>
        <w:t xml:space="preserve"> </w:t>
      </w:r>
      <w:r w:rsidR="00CD6E0E" w:rsidRPr="008F541F">
        <w:rPr>
          <w:rFonts w:cs="Calibri"/>
          <w:lang w:val="it-IT"/>
        </w:rPr>
        <w:t>+32.</w:t>
      </w:r>
      <w:r w:rsidR="00FB4E62">
        <w:rPr>
          <w:rFonts w:cs="Calibri"/>
          <w:lang w:val="it-IT"/>
        </w:rPr>
        <w:t>477 29 31 94</w:t>
      </w:r>
    </w:p>
    <w:p w:rsidR="00B7773F" w:rsidRPr="008F541F" w:rsidRDefault="001F4D09" w:rsidP="00A3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Hyperlink"/>
          <w:rFonts w:cs="Calibri"/>
          <w:bCs/>
          <w:lang w:val="it-IT"/>
        </w:rPr>
      </w:pPr>
      <w:r w:rsidRPr="008F541F">
        <w:rPr>
          <w:rFonts w:cs="Calibri"/>
          <w:bCs/>
          <w:lang w:val="it-IT"/>
        </w:rPr>
        <w:t>E-mail:</w:t>
      </w:r>
      <w:r w:rsidR="002D16F0" w:rsidRPr="008F541F">
        <w:rPr>
          <w:rFonts w:cs="Calibri"/>
          <w:bCs/>
          <w:lang w:val="it-IT"/>
        </w:rPr>
        <w:t xml:space="preserve"> </w:t>
      </w:r>
      <w:hyperlink r:id="rId8" w:history="1">
        <w:r w:rsidR="00FB4E62" w:rsidRPr="00F9539F">
          <w:rPr>
            <w:rStyle w:val="Hyperlink"/>
            <w:rFonts w:cs="Calibri"/>
            <w:bCs/>
            <w:lang w:val="it-IT"/>
          </w:rPr>
          <w:t>cb@fevia.be</w:t>
        </w:r>
      </w:hyperlink>
    </w:p>
    <w:p w:rsidR="00090855" w:rsidRPr="008F541F" w:rsidRDefault="00090855" w:rsidP="00A3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Hyperlink"/>
          <w:rFonts w:cs="Calibri"/>
          <w:bCs/>
          <w:lang w:val="it-IT"/>
        </w:rPr>
      </w:pPr>
    </w:p>
    <w:p w:rsidR="00090855" w:rsidRPr="008F541F" w:rsidRDefault="00090855" w:rsidP="00A3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Hyperlink"/>
          <w:rFonts w:cs="Calibri"/>
          <w:bCs/>
          <w:lang w:val="it-IT"/>
        </w:rPr>
      </w:pPr>
    </w:p>
    <w:p w:rsidR="00090855" w:rsidRPr="008F541F" w:rsidRDefault="00090855" w:rsidP="00A355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Hyperlink"/>
          <w:rFonts w:cs="Calibri"/>
          <w:bCs/>
          <w:lang w:val="it-IT"/>
        </w:rPr>
      </w:pPr>
    </w:p>
    <w:p w:rsidR="00D96B6C" w:rsidRPr="008F541F" w:rsidRDefault="00D75B55" w:rsidP="000908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808080"/>
          <w:lang w:val="it-IT"/>
        </w:rPr>
      </w:pPr>
      <w:r w:rsidRPr="008F541F">
        <w:rPr>
          <w:rStyle w:val="Hyperlink"/>
          <w:rFonts w:cs="Calibri"/>
          <w:bCs/>
          <w:lang w:val="it-IT"/>
        </w:rPr>
        <w:br/>
      </w:r>
      <w:r w:rsidR="008C5300">
        <w:rPr>
          <w:noProof/>
          <w:color w:val="808080"/>
          <w:lang w:eastAsia="fr-FR"/>
        </w:rPr>
        <mc:AlternateContent>
          <mc:Choice Requires="wps">
            <w:drawing>
              <wp:anchor distT="0" distB="0" distL="114300" distR="114300" simplePos="0" relativeHeight="251657728" behindDoc="0" locked="0" layoutInCell="1" allowOverlap="1" wp14:anchorId="402191C4" wp14:editId="62E1D88E">
                <wp:simplePos x="0" y="0"/>
                <wp:positionH relativeFrom="column">
                  <wp:posOffset>0</wp:posOffset>
                </wp:positionH>
                <wp:positionV relativeFrom="paragraph">
                  <wp:posOffset>54610</wp:posOffset>
                </wp:positionV>
                <wp:extent cx="5868035" cy="0"/>
                <wp:effectExtent l="9525" t="6985" r="889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straightConnector1">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ABBAA" id="_x0000_t32" coordsize="21600,21600" o:spt="32" o:oned="t" path="m,l21600,21600e" filled="f">
                <v:path arrowok="t" fillok="f" o:connecttype="none"/>
                <o:lock v:ext="edit" shapetype="t"/>
              </v:shapetype>
              <v:shape id="AutoShape 5" o:spid="_x0000_s1026" type="#_x0000_t32" style="position:absolute;margin-left:0;margin-top:4.3pt;width:462.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" strokecolor="#e36c0a"/>
            </w:pict>
          </mc:Fallback>
        </mc:AlternateContent>
      </w:r>
    </w:p>
    <w:p w:rsidR="00D96B6C" w:rsidRPr="00175957" w:rsidRDefault="001F4D09" w:rsidP="00D96B6C">
      <w:pPr>
        <w:pStyle w:val="Heading2"/>
        <w:rPr>
          <w:color w:val="808080"/>
        </w:rPr>
      </w:pPr>
      <w:r w:rsidRPr="00175957">
        <w:rPr>
          <w:color w:val="808080"/>
        </w:rPr>
        <w:t>DE VOEDINGSINDUSTRIE IN CIJFERS (201</w:t>
      </w:r>
      <w:r w:rsidR="001B4B19">
        <w:rPr>
          <w:color w:val="808080"/>
        </w:rPr>
        <w:t>2</w:t>
      </w:r>
      <w:r w:rsidRPr="00175957">
        <w:rPr>
          <w:color w:val="808080"/>
        </w:rPr>
        <w:t>)</w:t>
      </w:r>
      <w:r w:rsidR="00D75B55" w:rsidRPr="00175957">
        <w:rPr>
          <w:color w:val="808080"/>
        </w:rPr>
        <w:br/>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716"/>
        <w:gridCol w:w="1801"/>
        <w:gridCol w:w="1941"/>
        <w:gridCol w:w="2010"/>
      </w:tblGrid>
      <w:tr w:rsidR="00942D75" w:rsidRPr="00175957" w:rsidTr="009664FB">
        <w:tc>
          <w:tcPr>
            <w:tcW w:w="2088" w:type="dxa"/>
          </w:tcPr>
          <w:p w:rsidR="00942D75" w:rsidRPr="00175957" w:rsidRDefault="00942D75" w:rsidP="00A26301">
            <w:pPr>
              <w:tabs>
                <w:tab w:val="left" w:pos="4570"/>
                <w:tab w:val="left" w:pos="7405"/>
              </w:tabs>
              <w:spacing w:after="0" w:line="240" w:lineRule="auto"/>
              <w:rPr>
                <w:b/>
                <w:color w:val="808080"/>
                <w:sz w:val="20"/>
                <w:lang w:val="nl-BE"/>
              </w:rPr>
            </w:pPr>
          </w:p>
        </w:tc>
        <w:tc>
          <w:tcPr>
            <w:tcW w:w="1740" w:type="dxa"/>
          </w:tcPr>
          <w:p w:rsidR="00942D75" w:rsidRPr="00175957" w:rsidRDefault="00FB4E62" w:rsidP="00A26301">
            <w:pPr>
              <w:tabs>
                <w:tab w:val="left" w:pos="4570"/>
                <w:tab w:val="left" w:pos="7405"/>
              </w:tabs>
              <w:spacing w:after="0" w:line="240" w:lineRule="auto"/>
              <w:rPr>
                <w:b/>
                <w:color w:val="808080"/>
                <w:sz w:val="20"/>
                <w:lang w:val="nl-BE"/>
              </w:rPr>
            </w:pPr>
            <w:r>
              <w:rPr>
                <w:b/>
                <w:color w:val="808080"/>
                <w:sz w:val="20"/>
                <w:lang w:val="nl-BE"/>
              </w:rPr>
              <w:t>Vlaanderen</w:t>
            </w:r>
          </w:p>
        </w:tc>
        <w:tc>
          <w:tcPr>
            <w:tcW w:w="1842" w:type="dxa"/>
          </w:tcPr>
          <w:p w:rsidR="00942D75" w:rsidRPr="00175957" w:rsidRDefault="00566143" w:rsidP="00A26301">
            <w:pPr>
              <w:tabs>
                <w:tab w:val="left" w:pos="4570"/>
                <w:tab w:val="left" w:pos="7405"/>
              </w:tabs>
              <w:spacing w:after="0" w:line="240" w:lineRule="auto"/>
              <w:rPr>
                <w:b/>
                <w:color w:val="808080"/>
                <w:sz w:val="20"/>
                <w:lang w:val="nl-BE"/>
              </w:rPr>
            </w:pPr>
            <w:r>
              <w:rPr>
                <w:b/>
                <w:color w:val="808080"/>
                <w:sz w:val="20"/>
                <w:lang w:val="nl-BE"/>
              </w:rPr>
              <w:t xml:space="preserve">Evolutie </w:t>
            </w:r>
            <w:r w:rsidR="00942D75">
              <w:rPr>
                <w:b/>
                <w:color w:val="808080"/>
                <w:sz w:val="20"/>
                <w:lang w:val="nl-BE"/>
              </w:rPr>
              <w:t>2011-2012</w:t>
            </w:r>
          </w:p>
        </w:tc>
        <w:tc>
          <w:tcPr>
            <w:tcW w:w="1985" w:type="dxa"/>
            <w:shd w:val="clear" w:color="auto" w:fill="auto"/>
          </w:tcPr>
          <w:p w:rsidR="00942D75" w:rsidRPr="00175957" w:rsidRDefault="00D121F5" w:rsidP="00A26301">
            <w:pPr>
              <w:tabs>
                <w:tab w:val="left" w:pos="4570"/>
                <w:tab w:val="left" w:pos="7405"/>
              </w:tabs>
              <w:spacing w:after="0" w:line="240" w:lineRule="auto"/>
              <w:rPr>
                <w:b/>
                <w:color w:val="808080"/>
                <w:sz w:val="20"/>
                <w:lang w:val="nl-BE"/>
              </w:rPr>
            </w:pPr>
            <w:r>
              <w:rPr>
                <w:b/>
                <w:color w:val="808080"/>
                <w:sz w:val="20"/>
                <w:lang w:val="nl-BE"/>
              </w:rPr>
              <w:t>Aandeel in industrie</w:t>
            </w:r>
          </w:p>
        </w:tc>
        <w:tc>
          <w:tcPr>
            <w:tcW w:w="2091" w:type="dxa"/>
            <w:tcBorders>
              <w:top w:val="nil"/>
              <w:bottom w:val="nil"/>
            </w:tcBorders>
            <w:shd w:val="clear" w:color="auto" w:fill="auto"/>
          </w:tcPr>
          <w:p w:rsidR="00942D75" w:rsidRPr="00175957" w:rsidRDefault="00942D75" w:rsidP="00175957">
            <w:pPr>
              <w:tabs>
                <w:tab w:val="left" w:pos="4570"/>
                <w:tab w:val="left" w:pos="7405"/>
              </w:tabs>
              <w:spacing w:after="0" w:line="240" w:lineRule="auto"/>
              <w:rPr>
                <w:b/>
                <w:color w:val="808080"/>
                <w:sz w:val="20"/>
                <w:lang w:val="nl-BE"/>
              </w:rPr>
            </w:pP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Jobs</w:t>
            </w:r>
          </w:p>
        </w:tc>
        <w:tc>
          <w:tcPr>
            <w:tcW w:w="1740" w:type="dxa"/>
          </w:tcPr>
          <w:p w:rsidR="00942D75" w:rsidRPr="00175957" w:rsidRDefault="00E469CA" w:rsidP="00566143">
            <w:pPr>
              <w:tabs>
                <w:tab w:val="left" w:pos="4570"/>
                <w:tab w:val="left" w:pos="7405"/>
              </w:tabs>
              <w:spacing w:after="0" w:line="240" w:lineRule="auto"/>
              <w:rPr>
                <w:color w:val="808080"/>
                <w:sz w:val="20"/>
                <w:lang w:val="nl-BE"/>
              </w:rPr>
            </w:pPr>
            <w:r>
              <w:rPr>
                <w:color w:val="808080"/>
                <w:sz w:val="20"/>
                <w:lang w:val="nl-BE"/>
              </w:rPr>
              <w:t>62.400*</w:t>
            </w:r>
          </w:p>
        </w:tc>
        <w:tc>
          <w:tcPr>
            <w:tcW w:w="1842" w:type="dxa"/>
          </w:tcPr>
          <w:p w:rsidR="00942D75" w:rsidRPr="00175957" w:rsidRDefault="00942D75" w:rsidP="00E469CA">
            <w:pPr>
              <w:tabs>
                <w:tab w:val="left" w:pos="4570"/>
                <w:tab w:val="left" w:pos="7405"/>
              </w:tabs>
              <w:spacing w:after="0" w:line="240" w:lineRule="auto"/>
              <w:rPr>
                <w:color w:val="808080"/>
                <w:sz w:val="20"/>
                <w:lang w:val="nl-BE"/>
              </w:rPr>
            </w:pPr>
            <w:r>
              <w:rPr>
                <w:color w:val="808080"/>
                <w:sz w:val="20"/>
                <w:lang w:val="nl-BE"/>
              </w:rPr>
              <w:t>0,</w:t>
            </w:r>
            <w:r w:rsidR="00E469CA">
              <w:rPr>
                <w:color w:val="808080"/>
                <w:sz w:val="20"/>
                <w:lang w:val="nl-BE"/>
              </w:rPr>
              <w:t>1</w:t>
            </w:r>
            <w:r>
              <w:rPr>
                <w:color w:val="808080"/>
                <w:sz w:val="20"/>
                <w:lang w:val="nl-BE"/>
              </w:rPr>
              <w:t>%</w:t>
            </w:r>
          </w:p>
        </w:tc>
        <w:tc>
          <w:tcPr>
            <w:tcW w:w="1985" w:type="dxa"/>
            <w:shd w:val="clear" w:color="auto" w:fill="auto"/>
          </w:tcPr>
          <w:p w:rsidR="00942D75" w:rsidRPr="009664FB" w:rsidRDefault="00D121F5" w:rsidP="00E469CA">
            <w:pPr>
              <w:tabs>
                <w:tab w:val="left" w:pos="4570"/>
                <w:tab w:val="left" w:pos="7405"/>
              </w:tabs>
              <w:spacing w:after="0" w:line="240" w:lineRule="auto"/>
              <w:rPr>
                <w:color w:val="808080"/>
                <w:sz w:val="20"/>
                <w:lang w:val="nl-BE"/>
              </w:rPr>
            </w:pPr>
            <w:r w:rsidRPr="009664FB">
              <w:rPr>
                <w:color w:val="808080"/>
                <w:sz w:val="20"/>
                <w:lang w:val="nl-BE"/>
              </w:rPr>
              <w:t>17</w:t>
            </w:r>
            <w:r w:rsidR="00E469CA">
              <w:rPr>
                <w:color w:val="808080"/>
                <w:sz w:val="20"/>
                <w:lang w:val="nl-BE"/>
              </w:rPr>
              <w:t>,7</w:t>
            </w:r>
            <w:r w:rsidRPr="009664FB">
              <w:rPr>
                <w:color w:val="808080"/>
                <w:sz w:val="20"/>
                <w:lang w:val="nl-BE"/>
              </w:rPr>
              <w:t>%</w:t>
            </w: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Bedrijven/ Vestigingen</w:t>
            </w:r>
          </w:p>
        </w:tc>
        <w:tc>
          <w:tcPr>
            <w:tcW w:w="1740" w:type="dxa"/>
          </w:tcPr>
          <w:p w:rsidR="00942D75" w:rsidRPr="00175957" w:rsidRDefault="00E469CA" w:rsidP="00566143">
            <w:pPr>
              <w:tabs>
                <w:tab w:val="left" w:pos="4570"/>
                <w:tab w:val="left" w:pos="7405"/>
              </w:tabs>
              <w:spacing w:after="0" w:line="240" w:lineRule="auto"/>
              <w:rPr>
                <w:color w:val="808080"/>
                <w:sz w:val="20"/>
                <w:lang w:val="nl-BE"/>
              </w:rPr>
            </w:pPr>
            <w:r>
              <w:rPr>
                <w:color w:val="808080"/>
                <w:sz w:val="20"/>
                <w:lang w:val="nl-BE"/>
              </w:rPr>
              <w:t>3.400*</w:t>
            </w:r>
          </w:p>
        </w:tc>
        <w:tc>
          <w:tcPr>
            <w:tcW w:w="1842" w:type="dxa"/>
          </w:tcPr>
          <w:p w:rsidR="00942D75" w:rsidRPr="00175957" w:rsidRDefault="00942D75" w:rsidP="00E469CA">
            <w:pPr>
              <w:tabs>
                <w:tab w:val="left" w:pos="4570"/>
                <w:tab w:val="left" w:pos="7405"/>
              </w:tabs>
              <w:spacing w:after="0" w:line="240" w:lineRule="auto"/>
              <w:rPr>
                <w:color w:val="808080"/>
                <w:sz w:val="20"/>
                <w:lang w:val="nl-BE"/>
              </w:rPr>
            </w:pPr>
            <w:r>
              <w:rPr>
                <w:color w:val="808080"/>
                <w:sz w:val="20"/>
                <w:lang w:val="nl-BE"/>
              </w:rPr>
              <w:t>-</w:t>
            </w:r>
            <w:r w:rsidR="00E469CA">
              <w:rPr>
                <w:color w:val="808080"/>
                <w:sz w:val="20"/>
                <w:lang w:val="nl-BE"/>
              </w:rPr>
              <w:t>3,1</w:t>
            </w:r>
            <w:r>
              <w:rPr>
                <w:color w:val="808080"/>
                <w:sz w:val="20"/>
                <w:lang w:val="nl-BE"/>
              </w:rPr>
              <w:t>%</w:t>
            </w:r>
          </w:p>
        </w:tc>
        <w:tc>
          <w:tcPr>
            <w:tcW w:w="1985" w:type="dxa"/>
            <w:shd w:val="clear" w:color="auto" w:fill="auto"/>
          </w:tcPr>
          <w:p w:rsidR="00942D75" w:rsidRPr="009664FB" w:rsidRDefault="00D121F5" w:rsidP="00E469CA">
            <w:pPr>
              <w:tabs>
                <w:tab w:val="left" w:pos="4570"/>
                <w:tab w:val="left" w:pos="7405"/>
              </w:tabs>
              <w:spacing w:after="0" w:line="240" w:lineRule="auto"/>
              <w:rPr>
                <w:color w:val="808080"/>
                <w:sz w:val="20"/>
                <w:lang w:val="nl-BE"/>
              </w:rPr>
            </w:pPr>
            <w:r w:rsidRPr="009664FB">
              <w:rPr>
                <w:color w:val="808080"/>
                <w:sz w:val="20"/>
                <w:lang w:val="nl-BE"/>
              </w:rPr>
              <w:t>27,</w:t>
            </w:r>
            <w:r w:rsidR="00E469CA">
              <w:rPr>
                <w:color w:val="808080"/>
                <w:sz w:val="20"/>
                <w:lang w:val="nl-BE"/>
              </w:rPr>
              <w:t>9</w:t>
            </w:r>
            <w:r w:rsidRPr="009664FB">
              <w:rPr>
                <w:color w:val="808080"/>
                <w:sz w:val="20"/>
                <w:lang w:val="nl-BE"/>
              </w:rPr>
              <w:t>%</w:t>
            </w: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Omzet</w:t>
            </w:r>
          </w:p>
        </w:tc>
        <w:tc>
          <w:tcPr>
            <w:tcW w:w="1740" w:type="dxa"/>
          </w:tcPr>
          <w:p w:rsidR="00942D75" w:rsidRPr="00175957" w:rsidRDefault="00E469CA" w:rsidP="00361670">
            <w:pPr>
              <w:tabs>
                <w:tab w:val="left" w:pos="4570"/>
                <w:tab w:val="left" w:pos="7405"/>
              </w:tabs>
              <w:spacing w:after="0" w:line="240" w:lineRule="auto"/>
              <w:rPr>
                <w:color w:val="808080"/>
                <w:sz w:val="20"/>
                <w:lang w:val="nl-BE"/>
              </w:rPr>
            </w:pPr>
            <w:r>
              <w:rPr>
                <w:color w:val="808080"/>
                <w:sz w:val="20"/>
                <w:lang w:val="nl-BE"/>
              </w:rPr>
              <w:t>39,0</w:t>
            </w:r>
            <w:r w:rsidR="00942D75">
              <w:rPr>
                <w:color w:val="808080"/>
                <w:sz w:val="20"/>
                <w:lang w:val="nl-BE"/>
              </w:rPr>
              <w:t xml:space="preserve"> mil</w:t>
            </w:r>
            <w:r w:rsidR="00361670">
              <w:rPr>
                <w:color w:val="808080"/>
                <w:sz w:val="20"/>
                <w:lang w:val="nl-BE"/>
              </w:rPr>
              <w:t>j</w:t>
            </w:r>
            <w:r w:rsidR="00942D75">
              <w:rPr>
                <w:color w:val="808080"/>
                <w:sz w:val="20"/>
                <w:lang w:val="nl-BE"/>
              </w:rPr>
              <w:t xml:space="preserve">ard </w:t>
            </w:r>
            <w:r w:rsidR="00942D75" w:rsidRPr="00942D75">
              <w:rPr>
                <w:color w:val="808080"/>
                <w:sz w:val="20"/>
                <w:lang w:val="nl-BE"/>
              </w:rPr>
              <w:t>€</w:t>
            </w:r>
          </w:p>
        </w:tc>
        <w:tc>
          <w:tcPr>
            <w:tcW w:w="1842" w:type="dxa"/>
          </w:tcPr>
          <w:p w:rsidR="00942D75" w:rsidRPr="00175957" w:rsidRDefault="00E469CA" w:rsidP="00370E8D">
            <w:pPr>
              <w:tabs>
                <w:tab w:val="left" w:pos="4570"/>
                <w:tab w:val="left" w:pos="7405"/>
              </w:tabs>
              <w:spacing w:after="0" w:line="240" w:lineRule="auto"/>
              <w:rPr>
                <w:color w:val="808080"/>
                <w:sz w:val="20"/>
                <w:lang w:val="nl-BE"/>
              </w:rPr>
            </w:pPr>
            <w:r>
              <w:rPr>
                <w:color w:val="808080"/>
                <w:sz w:val="20"/>
                <w:lang w:val="nl-BE"/>
              </w:rPr>
              <w:t>4</w:t>
            </w:r>
            <w:r w:rsidR="00942D75">
              <w:rPr>
                <w:color w:val="808080"/>
                <w:sz w:val="20"/>
                <w:lang w:val="nl-BE"/>
              </w:rPr>
              <w:t>%</w:t>
            </w:r>
          </w:p>
        </w:tc>
        <w:tc>
          <w:tcPr>
            <w:tcW w:w="1985" w:type="dxa"/>
            <w:shd w:val="clear" w:color="auto" w:fill="auto"/>
          </w:tcPr>
          <w:p w:rsidR="00942D75" w:rsidRPr="009664FB" w:rsidRDefault="00E469CA" w:rsidP="00370E8D">
            <w:pPr>
              <w:tabs>
                <w:tab w:val="left" w:pos="4570"/>
                <w:tab w:val="left" w:pos="7405"/>
              </w:tabs>
              <w:spacing w:after="0" w:line="240" w:lineRule="auto"/>
              <w:rPr>
                <w:color w:val="808080"/>
                <w:sz w:val="20"/>
                <w:lang w:val="nl-BE"/>
              </w:rPr>
            </w:pPr>
            <w:r>
              <w:rPr>
                <w:color w:val="808080"/>
                <w:sz w:val="20"/>
                <w:lang w:val="nl-BE"/>
              </w:rPr>
              <w:t>21,5</w:t>
            </w:r>
            <w:r w:rsidR="00D121F5" w:rsidRPr="009664FB">
              <w:rPr>
                <w:color w:val="808080"/>
                <w:sz w:val="20"/>
                <w:lang w:val="nl-BE"/>
              </w:rPr>
              <w:t>%</w:t>
            </w: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Toegevoegde waarde</w:t>
            </w:r>
          </w:p>
        </w:tc>
        <w:tc>
          <w:tcPr>
            <w:tcW w:w="1740" w:type="dxa"/>
          </w:tcPr>
          <w:p w:rsidR="00942D75" w:rsidRPr="00175957" w:rsidRDefault="00E469CA" w:rsidP="00361670">
            <w:pPr>
              <w:tabs>
                <w:tab w:val="left" w:pos="4570"/>
                <w:tab w:val="left" w:pos="7405"/>
              </w:tabs>
              <w:spacing w:after="0" w:line="240" w:lineRule="auto"/>
              <w:rPr>
                <w:color w:val="808080"/>
                <w:sz w:val="20"/>
                <w:lang w:val="nl-BE"/>
              </w:rPr>
            </w:pPr>
            <w:r>
              <w:rPr>
                <w:color w:val="808080"/>
                <w:sz w:val="20"/>
                <w:lang w:val="nl-BE"/>
              </w:rPr>
              <w:t>4</w:t>
            </w:r>
            <w:r w:rsidR="00942D75">
              <w:rPr>
                <w:color w:val="808080"/>
                <w:sz w:val="20"/>
                <w:lang w:val="nl-BE"/>
              </w:rPr>
              <w:t>,</w:t>
            </w:r>
            <w:r w:rsidR="00370E8D">
              <w:rPr>
                <w:color w:val="808080"/>
                <w:sz w:val="20"/>
                <w:lang w:val="nl-BE"/>
              </w:rPr>
              <w:t>8</w:t>
            </w:r>
            <w:r w:rsidR="00942D75">
              <w:rPr>
                <w:color w:val="808080"/>
                <w:sz w:val="20"/>
                <w:lang w:val="nl-BE"/>
              </w:rPr>
              <w:t xml:space="preserve"> mil</w:t>
            </w:r>
            <w:r w:rsidR="00361670">
              <w:rPr>
                <w:color w:val="808080"/>
                <w:sz w:val="20"/>
                <w:lang w:val="nl-BE"/>
              </w:rPr>
              <w:t>j</w:t>
            </w:r>
            <w:r w:rsidR="00942D75">
              <w:rPr>
                <w:color w:val="808080"/>
                <w:sz w:val="20"/>
                <w:lang w:val="nl-BE"/>
              </w:rPr>
              <w:t xml:space="preserve">ard </w:t>
            </w:r>
            <w:r w:rsidR="00942D75" w:rsidRPr="00942D75">
              <w:rPr>
                <w:color w:val="808080"/>
                <w:sz w:val="20"/>
                <w:lang w:val="nl-BE"/>
              </w:rPr>
              <w:t>€</w:t>
            </w:r>
          </w:p>
        </w:tc>
        <w:tc>
          <w:tcPr>
            <w:tcW w:w="1842" w:type="dxa"/>
          </w:tcPr>
          <w:p w:rsidR="00942D75" w:rsidRPr="00175957" w:rsidRDefault="00E469CA" w:rsidP="00370E8D">
            <w:pPr>
              <w:tabs>
                <w:tab w:val="left" w:pos="4570"/>
                <w:tab w:val="left" w:pos="7405"/>
              </w:tabs>
              <w:spacing w:after="0" w:line="240" w:lineRule="auto"/>
              <w:rPr>
                <w:color w:val="808080"/>
                <w:sz w:val="20"/>
                <w:lang w:val="nl-BE"/>
              </w:rPr>
            </w:pPr>
            <w:r>
              <w:rPr>
                <w:color w:val="808080"/>
                <w:sz w:val="20"/>
                <w:lang w:val="nl-BE"/>
              </w:rPr>
              <w:t>2</w:t>
            </w:r>
            <w:r w:rsidR="00942D75">
              <w:rPr>
                <w:color w:val="808080"/>
                <w:sz w:val="20"/>
                <w:lang w:val="nl-BE"/>
              </w:rPr>
              <w:t>%</w:t>
            </w:r>
          </w:p>
        </w:tc>
        <w:tc>
          <w:tcPr>
            <w:tcW w:w="1985" w:type="dxa"/>
            <w:shd w:val="clear" w:color="auto" w:fill="auto"/>
          </w:tcPr>
          <w:p w:rsidR="00942D75" w:rsidRPr="009664FB" w:rsidRDefault="00E15F4E" w:rsidP="00E469CA">
            <w:pPr>
              <w:tabs>
                <w:tab w:val="left" w:pos="4570"/>
                <w:tab w:val="left" w:pos="7405"/>
              </w:tabs>
              <w:spacing w:after="0" w:line="240" w:lineRule="auto"/>
              <w:rPr>
                <w:color w:val="808080"/>
                <w:sz w:val="20"/>
                <w:lang w:val="nl-BE"/>
              </w:rPr>
            </w:pPr>
            <w:r w:rsidRPr="009664FB">
              <w:rPr>
                <w:color w:val="808080"/>
                <w:sz w:val="20"/>
                <w:lang w:val="nl-BE"/>
              </w:rPr>
              <w:t>15,</w:t>
            </w:r>
            <w:r w:rsidR="00E469CA">
              <w:rPr>
                <w:color w:val="808080"/>
                <w:sz w:val="20"/>
                <w:lang w:val="nl-BE"/>
              </w:rPr>
              <w:t>6</w:t>
            </w:r>
            <w:r w:rsidRPr="009664FB">
              <w:rPr>
                <w:color w:val="808080"/>
                <w:sz w:val="20"/>
                <w:lang w:val="nl-BE"/>
              </w:rPr>
              <w:t>%</w:t>
            </w: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Export</w:t>
            </w:r>
          </w:p>
        </w:tc>
        <w:tc>
          <w:tcPr>
            <w:tcW w:w="1740" w:type="dxa"/>
          </w:tcPr>
          <w:p w:rsidR="00942D75" w:rsidRPr="00175957" w:rsidRDefault="00E469CA" w:rsidP="00E469CA">
            <w:pPr>
              <w:tabs>
                <w:tab w:val="left" w:pos="4570"/>
                <w:tab w:val="left" w:pos="7405"/>
              </w:tabs>
              <w:spacing w:after="0" w:line="240" w:lineRule="auto"/>
              <w:rPr>
                <w:color w:val="808080"/>
                <w:sz w:val="20"/>
                <w:lang w:val="nl-BE"/>
              </w:rPr>
            </w:pPr>
            <w:r>
              <w:rPr>
                <w:color w:val="808080"/>
                <w:sz w:val="20"/>
                <w:lang w:val="nl-BE"/>
              </w:rPr>
              <w:t>17,1</w:t>
            </w:r>
            <w:r w:rsidR="00942D75">
              <w:rPr>
                <w:color w:val="808080"/>
                <w:sz w:val="20"/>
                <w:lang w:val="nl-BE"/>
              </w:rPr>
              <w:t xml:space="preserve"> mil</w:t>
            </w:r>
            <w:r w:rsidR="00361670">
              <w:rPr>
                <w:color w:val="808080"/>
                <w:sz w:val="20"/>
                <w:lang w:val="nl-BE"/>
              </w:rPr>
              <w:t>j</w:t>
            </w:r>
            <w:r w:rsidR="00942D75">
              <w:rPr>
                <w:color w:val="808080"/>
                <w:sz w:val="20"/>
                <w:lang w:val="nl-BE"/>
              </w:rPr>
              <w:t xml:space="preserve">ard </w:t>
            </w:r>
            <w:r w:rsidR="00942D75" w:rsidRPr="00942D75">
              <w:rPr>
                <w:color w:val="808080"/>
                <w:sz w:val="20"/>
                <w:lang w:val="nl-BE"/>
              </w:rPr>
              <w:t>€</w:t>
            </w:r>
          </w:p>
        </w:tc>
        <w:tc>
          <w:tcPr>
            <w:tcW w:w="1842" w:type="dxa"/>
          </w:tcPr>
          <w:p w:rsidR="00942D75" w:rsidRPr="00175957" w:rsidRDefault="00E469CA" w:rsidP="00370E8D">
            <w:pPr>
              <w:tabs>
                <w:tab w:val="left" w:pos="4570"/>
                <w:tab w:val="left" w:pos="7405"/>
              </w:tabs>
              <w:spacing w:after="0" w:line="240" w:lineRule="auto"/>
              <w:rPr>
                <w:color w:val="808080"/>
                <w:sz w:val="20"/>
                <w:lang w:val="nl-BE"/>
              </w:rPr>
            </w:pPr>
            <w:r>
              <w:rPr>
                <w:color w:val="808080"/>
                <w:sz w:val="20"/>
                <w:lang w:val="nl-BE"/>
              </w:rPr>
              <w:t>3,6</w:t>
            </w:r>
            <w:r w:rsidR="00D121F5">
              <w:rPr>
                <w:color w:val="808080"/>
                <w:sz w:val="20"/>
                <w:lang w:val="nl-BE"/>
              </w:rPr>
              <w:t>%</w:t>
            </w:r>
          </w:p>
        </w:tc>
        <w:tc>
          <w:tcPr>
            <w:tcW w:w="1985" w:type="dxa"/>
            <w:shd w:val="clear" w:color="auto" w:fill="auto"/>
          </w:tcPr>
          <w:p w:rsidR="00942D75" w:rsidRPr="009664FB" w:rsidRDefault="00942D75" w:rsidP="00370E8D">
            <w:pPr>
              <w:tabs>
                <w:tab w:val="left" w:pos="4570"/>
                <w:tab w:val="left" w:pos="7405"/>
              </w:tabs>
              <w:spacing w:after="0" w:line="240" w:lineRule="auto"/>
              <w:rPr>
                <w:color w:val="808080"/>
                <w:sz w:val="20"/>
                <w:lang w:val="nl-BE"/>
              </w:rPr>
            </w:pP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Import</w:t>
            </w:r>
          </w:p>
        </w:tc>
        <w:tc>
          <w:tcPr>
            <w:tcW w:w="1740" w:type="dxa"/>
          </w:tcPr>
          <w:p w:rsidR="00942D75" w:rsidRPr="00175957" w:rsidRDefault="00942D75" w:rsidP="00E469CA">
            <w:pPr>
              <w:tabs>
                <w:tab w:val="left" w:pos="4570"/>
                <w:tab w:val="left" w:pos="7405"/>
              </w:tabs>
              <w:spacing w:after="0" w:line="240" w:lineRule="auto"/>
              <w:rPr>
                <w:color w:val="808080"/>
                <w:sz w:val="20"/>
                <w:lang w:val="nl-BE"/>
              </w:rPr>
            </w:pPr>
            <w:r>
              <w:rPr>
                <w:color w:val="808080"/>
                <w:sz w:val="20"/>
                <w:lang w:val="nl-BE"/>
              </w:rPr>
              <w:t>1</w:t>
            </w:r>
            <w:r w:rsidR="00E469CA">
              <w:rPr>
                <w:color w:val="808080"/>
                <w:sz w:val="20"/>
                <w:lang w:val="nl-BE"/>
              </w:rPr>
              <w:t>4</w:t>
            </w:r>
            <w:r>
              <w:rPr>
                <w:color w:val="808080"/>
                <w:sz w:val="20"/>
                <w:lang w:val="nl-BE"/>
              </w:rPr>
              <w:t>,6 mil</w:t>
            </w:r>
            <w:r w:rsidR="00361670">
              <w:rPr>
                <w:color w:val="808080"/>
                <w:sz w:val="20"/>
                <w:lang w:val="nl-BE"/>
              </w:rPr>
              <w:t>j</w:t>
            </w:r>
            <w:r>
              <w:rPr>
                <w:color w:val="808080"/>
                <w:sz w:val="20"/>
                <w:lang w:val="nl-BE"/>
              </w:rPr>
              <w:t xml:space="preserve">ard </w:t>
            </w:r>
            <w:r w:rsidRPr="00942D75">
              <w:rPr>
                <w:color w:val="808080"/>
                <w:sz w:val="20"/>
                <w:lang w:val="nl-BE"/>
              </w:rPr>
              <w:t>€</w:t>
            </w:r>
          </w:p>
        </w:tc>
        <w:tc>
          <w:tcPr>
            <w:tcW w:w="1842" w:type="dxa"/>
          </w:tcPr>
          <w:p w:rsidR="00942D75" w:rsidRPr="00175957" w:rsidRDefault="00E469CA" w:rsidP="000A016E">
            <w:pPr>
              <w:tabs>
                <w:tab w:val="left" w:pos="4570"/>
                <w:tab w:val="left" w:pos="7405"/>
              </w:tabs>
              <w:spacing w:after="0" w:line="240" w:lineRule="auto"/>
              <w:rPr>
                <w:color w:val="808080"/>
                <w:sz w:val="20"/>
                <w:lang w:val="nl-BE"/>
              </w:rPr>
            </w:pPr>
            <w:r>
              <w:rPr>
                <w:color w:val="808080"/>
                <w:sz w:val="20"/>
                <w:lang w:val="nl-BE"/>
              </w:rPr>
              <w:t>2,6</w:t>
            </w:r>
            <w:r w:rsidR="00D121F5">
              <w:rPr>
                <w:color w:val="808080"/>
                <w:sz w:val="20"/>
                <w:lang w:val="nl-BE"/>
              </w:rPr>
              <w:t>%</w:t>
            </w:r>
          </w:p>
        </w:tc>
        <w:tc>
          <w:tcPr>
            <w:tcW w:w="1985" w:type="dxa"/>
            <w:shd w:val="clear" w:color="auto" w:fill="auto"/>
          </w:tcPr>
          <w:p w:rsidR="00942D75" w:rsidRPr="009664FB" w:rsidRDefault="00942D75" w:rsidP="00370E8D">
            <w:pPr>
              <w:tabs>
                <w:tab w:val="left" w:pos="4570"/>
                <w:tab w:val="left" w:pos="7405"/>
              </w:tabs>
              <w:spacing w:after="0" w:line="240" w:lineRule="auto"/>
              <w:rPr>
                <w:color w:val="808080"/>
                <w:sz w:val="20"/>
                <w:lang w:val="nl-BE"/>
              </w:rPr>
            </w:pPr>
          </w:p>
        </w:tc>
      </w:tr>
      <w:tr w:rsidR="00942D75" w:rsidRPr="00175957" w:rsidTr="009664FB">
        <w:trPr>
          <w:gridAfter w:val="1"/>
          <w:wAfter w:w="2010" w:type="dxa"/>
        </w:trPr>
        <w:tc>
          <w:tcPr>
            <w:tcW w:w="2088" w:type="dxa"/>
          </w:tcPr>
          <w:p w:rsidR="00942D75" w:rsidRPr="00175957" w:rsidRDefault="00942D75" w:rsidP="00175957">
            <w:pPr>
              <w:tabs>
                <w:tab w:val="left" w:pos="4570"/>
                <w:tab w:val="left" w:pos="7405"/>
              </w:tabs>
              <w:spacing w:after="0" w:line="240" w:lineRule="auto"/>
              <w:rPr>
                <w:color w:val="808080"/>
                <w:sz w:val="20"/>
                <w:lang w:val="nl-BE"/>
              </w:rPr>
            </w:pPr>
            <w:r>
              <w:rPr>
                <w:color w:val="808080"/>
                <w:sz w:val="20"/>
                <w:lang w:val="nl-BE"/>
              </w:rPr>
              <w:t>Investeringen</w:t>
            </w:r>
          </w:p>
        </w:tc>
        <w:tc>
          <w:tcPr>
            <w:tcW w:w="1740" w:type="dxa"/>
          </w:tcPr>
          <w:p w:rsidR="00942D75" w:rsidRPr="00175957" w:rsidRDefault="00942D75" w:rsidP="00E469CA">
            <w:pPr>
              <w:tabs>
                <w:tab w:val="left" w:pos="4570"/>
                <w:tab w:val="left" w:pos="7405"/>
              </w:tabs>
              <w:spacing w:after="0" w:line="240" w:lineRule="auto"/>
              <w:rPr>
                <w:color w:val="808080"/>
                <w:sz w:val="20"/>
                <w:lang w:val="nl-BE"/>
              </w:rPr>
            </w:pPr>
            <w:r>
              <w:rPr>
                <w:color w:val="808080"/>
                <w:sz w:val="20"/>
                <w:lang w:val="nl-BE"/>
              </w:rPr>
              <w:t>1</w:t>
            </w:r>
            <w:r w:rsidR="00E469CA">
              <w:rPr>
                <w:color w:val="808080"/>
                <w:sz w:val="20"/>
                <w:lang w:val="nl-BE"/>
              </w:rPr>
              <w:t xml:space="preserve"> </w:t>
            </w:r>
            <w:r>
              <w:rPr>
                <w:color w:val="808080"/>
                <w:sz w:val="20"/>
                <w:lang w:val="nl-BE"/>
              </w:rPr>
              <w:t>mil</w:t>
            </w:r>
            <w:r w:rsidR="00361670">
              <w:rPr>
                <w:color w:val="808080"/>
                <w:sz w:val="20"/>
                <w:lang w:val="nl-BE"/>
              </w:rPr>
              <w:t>j</w:t>
            </w:r>
            <w:r>
              <w:rPr>
                <w:color w:val="808080"/>
                <w:sz w:val="20"/>
                <w:lang w:val="nl-BE"/>
              </w:rPr>
              <w:t xml:space="preserve">ard </w:t>
            </w:r>
            <w:r w:rsidRPr="00942D75">
              <w:rPr>
                <w:color w:val="808080"/>
                <w:sz w:val="20"/>
                <w:lang w:val="nl-BE"/>
              </w:rPr>
              <w:t>€</w:t>
            </w:r>
          </w:p>
        </w:tc>
        <w:tc>
          <w:tcPr>
            <w:tcW w:w="1842" w:type="dxa"/>
          </w:tcPr>
          <w:p w:rsidR="00942D75" w:rsidRPr="00175957" w:rsidRDefault="00E469CA" w:rsidP="00370E8D">
            <w:pPr>
              <w:tabs>
                <w:tab w:val="left" w:pos="4570"/>
                <w:tab w:val="left" w:pos="7405"/>
              </w:tabs>
              <w:spacing w:after="0" w:line="240" w:lineRule="auto"/>
              <w:rPr>
                <w:color w:val="808080"/>
                <w:sz w:val="20"/>
                <w:lang w:val="nl-BE"/>
              </w:rPr>
            </w:pPr>
            <w:r>
              <w:rPr>
                <w:color w:val="808080"/>
                <w:sz w:val="20"/>
                <w:lang w:val="nl-BE"/>
              </w:rPr>
              <w:t>20,5</w:t>
            </w:r>
            <w:r w:rsidR="00D121F5">
              <w:rPr>
                <w:color w:val="808080"/>
                <w:sz w:val="20"/>
                <w:lang w:val="nl-BE"/>
              </w:rPr>
              <w:t>%</w:t>
            </w:r>
          </w:p>
        </w:tc>
        <w:tc>
          <w:tcPr>
            <w:tcW w:w="1985" w:type="dxa"/>
            <w:shd w:val="clear" w:color="auto" w:fill="auto"/>
          </w:tcPr>
          <w:p w:rsidR="00942D75" w:rsidRPr="009664FB" w:rsidRDefault="00E469CA" w:rsidP="00370E8D">
            <w:pPr>
              <w:tabs>
                <w:tab w:val="left" w:pos="4570"/>
                <w:tab w:val="left" w:pos="7405"/>
              </w:tabs>
              <w:spacing w:after="0" w:line="240" w:lineRule="auto"/>
              <w:rPr>
                <w:color w:val="808080"/>
                <w:sz w:val="20"/>
                <w:lang w:val="nl-BE"/>
              </w:rPr>
            </w:pPr>
            <w:r>
              <w:rPr>
                <w:color w:val="808080"/>
                <w:sz w:val="20"/>
                <w:lang w:val="nl-BE"/>
              </w:rPr>
              <w:t>24,6</w:t>
            </w:r>
            <w:r w:rsidR="00E15F4E" w:rsidRPr="009664FB">
              <w:rPr>
                <w:color w:val="808080"/>
                <w:sz w:val="20"/>
                <w:lang w:val="nl-BE"/>
              </w:rPr>
              <w:t>%</w:t>
            </w:r>
          </w:p>
        </w:tc>
      </w:tr>
    </w:tbl>
    <w:p w:rsidR="00370E8D" w:rsidRPr="00175957" w:rsidRDefault="00370E8D" w:rsidP="00090855">
      <w:pPr>
        <w:rPr>
          <w:lang w:val="nl-BE" w:eastAsia="nl-NL"/>
        </w:rPr>
      </w:pPr>
    </w:p>
    <w:sectPr w:rsidR="00370E8D" w:rsidRPr="00175957" w:rsidSect="00FB4E62">
      <w:headerReference w:type="default" r:id="rId9"/>
      <w:pgSz w:w="11906" w:h="16838"/>
      <w:pgMar w:top="2231" w:right="1134" w:bottom="130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BBD" w:rsidRDefault="00E72BBD" w:rsidP="00E32F1B">
      <w:pPr>
        <w:spacing w:after="0" w:line="240" w:lineRule="auto"/>
      </w:pPr>
      <w:r>
        <w:separator/>
      </w:r>
    </w:p>
  </w:endnote>
  <w:endnote w:type="continuationSeparator" w:id="0">
    <w:p w:rsidR="00E72BBD" w:rsidRDefault="00E72BBD" w:rsidP="00E3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BBD" w:rsidRDefault="00E72BBD" w:rsidP="00E32F1B">
      <w:pPr>
        <w:spacing w:after="0" w:line="240" w:lineRule="auto"/>
      </w:pPr>
      <w:r>
        <w:separator/>
      </w:r>
    </w:p>
  </w:footnote>
  <w:footnote w:type="continuationSeparator" w:id="0">
    <w:p w:rsidR="00E72BBD" w:rsidRDefault="00E72BBD" w:rsidP="00E32F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87" w:rsidRDefault="008C5300" w:rsidP="00FB4E62">
    <w:pPr>
      <w:pStyle w:val="Header"/>
      <w:tabs>
        <w:tab w:val="clear" w:pos="4513"/>
        <w:tab w:val="clear" w:pos="9026"/>
      </w:tabs>
      <w:ind w:left="-284"/>
      <w:jc w:val="both"/>
    </w:pPr>
    <w:r>
      <w:rPr>
        <w:noProof/>
        <w:lang w:eastAsia="fr-FR"/>
      </w:rPr>
      <w:drawing>
        <wp:anchor distT="0" distB="0" distL="114300" distR="114300" simplePos="0" relativeHeight="251657216" behindDoc="0" locked="0" layoutInCell="1" allowOverlap="1" wp14:anchorId="53B9C9B0" wp14:editId="197B3CD5">
          <wp:simplePos x="0" y="0"/>
          <wp:positionH relativeFrom="column">
            <wp:posOffset>4371975</wp:posOffset>
          </wp:positionH>
          <wp:positionV relativeFrom="paragraph">
            <wp:posOffset>-1618</wp:posOffset>
          </wp:positionV>
          <wp:extent cx="1771650" cy="774065"/>
          <wp:effectExtent l="0" t="0" r="0" b="6985"/>
          <wp:wrapNone/>
          <wp:docPr id="3" name="Picture 5" descr="Description: C:\Users\jb\AppData\Local\Microsoft\Windows\Temporary Internet Files\Content.Outlook\N51JJ0N3\FOOD-BE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jb\AppData\Local\Microsoft\Windows\Temporary Internet Files\Content.Outlook\N51JJ0N3\FOOD-BE_Logo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774065"/>
                  </a:xfrm>
                  <a:prstGeom prst="rect">
                    <a:avLst/>
                  </a:prstGeom>
                  <a:noFill/>
                </pic:spPr>
              </pic:pic>
            </a:graphicData>
          </a:graphic>
          <wp14:sizeRelH relativeFrom="page">
            <wp14:pctWidth>0</wp14:pctWidth>
          </wp14:sizeRelH>
          <wp14:sizeRelV relativeFrom="page">
            <wp14:pctHeight>0</wp14:pctHeight>
          </wp14:sizeRelV>
        </wp:anchor>
      </w:drawing>
    </w:r>
    <w:r w:rsidR="00FB4E62">
      <w:rPr>
        <w:noProof/>
        <w:lang w:eastAsia="fr-FR"/>
      </w:rPr>
      <w:drawing>
        <wp:inline distT="0" distB="0" distL="0" distR="0" wp14:anchorId="27D96D54" wp14:editId="5B4400F6">
          <wp:extent cx="1561382" cy="825879"/>
          <wp:effectExtent l="0" t="0" r="0" b="0"/>
          <wp:docPr id="2" name="Image 2" descr="Fevia_logo_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via_logo_Vlaander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201" cy="8257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8.75pt" o:bullet="t">
        <v:imagedata r:id="rId1" o:title="art5005"/>
      </v:shape>
    </w:pict>
  </w:numPicBullet>
  <w:numPicBullet w:numPicBulletId="1">
    <w:pict>
      <v:shape id="_x0000_i1029" type="#_x0000_t75" style="width:11.25pt;height:15.75pt" o:bullet="t">
        <v:imagedata r:id="rId2" o:title="art5006"/>
      </v:shape>
    </w:pict>
  </w:numPicBullet>
  <w:abstractNum w:abstractNumId="0">
    <w:nsid w:val="14D860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AE45D55"/>
    <w:multiLevelType w:val="multilevel"/>
    <w:tmpl w:val="82F8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A55B7"/>
    <w:multiLevelType w:val="hybridMultilevel"/>
    <w:tmpl w:val="2ECCD5E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7E5BD0"/>
    <w:multiLevelType w:val="hybridMultilevel"/>
    <w:tmpl w:val="0922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8019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2F1A407C"/>
    <w:multiLevelType w:val="hybridMultilevel"/>
    <w:tmpl w:val="65084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064764"/>
    <w:multiLevelType w:val="hybridMultilevel"/>
    <w:tmpl w:val="3C2A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75A34"/>
    <w:multiLevelType w:val="hybridMultilevel"/>
    <w:tmpl w:val="E8081668"/>
    <w:lvl w:ilvl="0" w:tplc="1780DC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2F6858"/>
    <w:multiLevelType w:val="hybridMultilevel"/>
    <w:tmpl w:val="6A885F38"/>
    <w:lvl w:ilvl="0" w:tplc="0409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D6617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60E030E6"/>
    <w:multiLevelType w:val="hybridMultilevel"/>
    <w:tmpl w:val="33F8FF90"/>
    <w:lvl w:ilvl="0" w:tplc="DF2674FC">
      <w:start w:val="1"/>
      <w:numFmt w:val="bullet"/>
      <w:lvlText w:val=""/>
      <w:lvlPicBulletId w:val="0"/>
      <w:lvlJc w:val="left"/>
      <w:pPr>
        <w:tabs>
          <w:tab w:val="num" w:pos="720"/>
        </w:tabs>
        <w:ind w:left="720" w:hanging="360"/>
      </w:pPr>
      <w:rPr>
        <w:rFonts w:ascii="Symbol" w:hAnsi="Symbol" w:hint="default"/>
      </w:rPr>
    </w:lvl>
    <w:lvl w:ilvl="1" w:tplc="54AA77B2">
      <w:start w:val="1"/>
      <w:numFmt w:val="bullet"/>
      <w:lvlText w:val=""/>
      <w:lvlPicBulletId w:val="0"/>
      <w:lvlJc w:val="left"/>
      <w:pPr>
        <w:tabs>
          <w:tab w:val="num" w:pos="1440"/>
        </w:tabs>
        <w:ind w:left="1440" w:hanging="360"/>
      </w:pPr>
      <w:rPr>
        <w:rFonts w:ascii="Symbol" w:hAnsi="Symbol" w:hint="default"/>
      </w:rPr>
    </w:lvl>
    <w:lvl w:ilvl="2" w:tplc="611AB134">
      <w:start w:val="1571"/>
      <w:numFmt w:val="bullet"/>
      <w:lvlText w:val=""/>
      <w:lvlPicBulletId w:val="1"/>
      <w:lvlJc w:val="left"/>
      <w:pPr>
        <w:tabs>
          <w:tab w:val="num" w:pos="2160"/>
        </w:tabs>
        <w:ind w:left="2160" w:hanging="360"/>
      </w:pPr>
      <w:rPr>
        <w:rFonts w:ascii="Symbol" w:hAnsi="Symbol" w:hint="default"/>
      </w:rPr>
    </w:lvl>
    <w:lvl w:ilvl="3" w:tplc="AF04D294">
      <w:start w:val="1571"/>
      <w:numFmt w:val="bullet"/>
      <w:lvlText w:val=""/>
      <w:lvlJc w:val="left"/>
      <w:pPr>
        <w:tabs>
          <w:tab w:val="num" w:pos="2880"/>
        </w:tabs>
        <w:ind w:left="2880" w:hanging="360"/>
      </w:pPr>
      <w:rPr>
        <w:rFonts w:ascii="Wingdings" w:hAnsi="Wingdings" w:hint="default"/>
      </w:rPr>
    </w:lvl>
    <w:lvl w:ilvl="4" w:tplc="30D01E04" w:tentative="1">
      <w:start w:val="1"/>
      <w:numFmt w:val="bullet"/>
      <w:lvlText w:val=""/>
      <w:lvlPicBulletId w:val="0"/>
      <w:lvlJc w:val="left"/>
      <w:pPr>
        <w:tabs>
          <w:tab w:val="num" w:pos="3600"/>
        </w:tabs>
        <w:ind w:left="3600" w:hanging="360"/>
      </w:pPr>
      <w:rPr>
        <w:rFonts w:ascii="Symbol" w:hAnsi="Symbol" w:hint="default"/>
      </w:rPr>
    </w:lvl>
    <w:lvl w:ilvl="5" w:tplc="01546D34" w:tentative="1">
      <w:start w:val="1"/>
      <w:numFmt w:val="bullet"/>
      <w:lvlText w:val=""/>
      <w:lvlPicBulletId w:val="0"/>
      <w:lvlJc w:val="left"/>
      <w:pPr>
        <w:tabs>
          <w:tab w:val="num" w:pos="4320"/>
        </w:tabs>
        <w:ind w:left="4320" w:hanging="360"/>
      </w:pPr>
      <w:rPr>
        <w:rFonts w:ascii="Symbol" w:hAnsi="Symbol" w:hint="default"/>
      </w:rPr>
    </w:lvl>
    <w:lvl w:ilvl="6" w:tplc="E018947E" w:tentative="1">
      <w:start w:val="1"/>
      <w:numFmt w:val="bullet"/>
      <w:lvlText w:val=""/>
      <w:lvlPicBulletId w:val="0"/>
      <w:lvlJc w:val="left"/>
      <w:pPr>
        <w:tabs>
          <w:tab w:val="num" w:pos="5040"/>
        </w:tabs>
        <w:ind w:left="5040" w:hanging="360"/>
      </w:pPr>
      <w:rPr>
        <w:rFonts w:ascii="Symbol" w:hAnsi="Symbol" w:hint="default"/>
      </w:rPr>
    </w:lvl>
    <w:lvl w:ilvl="7" w:tplc="29B42862" w:tentative="1">
      <w:start w:val="1"/>
      <w:numFmt w:val="bullet"/>
      <w:lvlText w:val=""/>
      <w:lvlPicBulletId w:val="0"/>
      <w:lvlJc w:val="left"/>
      <w:pPr>
        <w:tabs>
          <w:tab w:val="num" w:pos="5760"/>
        </w:tabs>
        <w:ind w:left="5760" w:hanging="360"/>
      </w:pPr>
      <w:rPr>
        <w:rFonts w:ascii="Symbol" w:hAnsi="Symbol" w:hint="default"/>
      </w:rPr>
    </w:lvl>
    <w:lvl w:ilvl="8" w:tplc="AB1278A8" w:tentative="1">
      <w:start w:val="1"/>
      <w:numFmt w:val="bullet"/>
      <w:lvlText w:val=""/>
      <w:lvlPicBulletId w:val="0"/>
      <w:lvlJc w:val="left"/>
      <w:pPr>
        <w:tabs>
          <w:tab w:val="num" w:pos="6480"/>
        </w:tabs>
        <w:ind w:left="6480" w:hanging="360"/>
      </w:pPr>
      <w:rPr>
        <w:rFonts w:ascii="Symbol" w:hAnsi="Symbol" w:hint="default"/>
      </w:rPr>
    </w:lvl>
  </w:abstractNum>
  <w:num w:numId="1">
    <w:abstractNumId w:val="8"/>
  </w:num>
  <w:num w:numId="2">
    <w:abstractNumId w:val="4"/>
  </w:num>
  <w:num w:numId="3">
    <w:abstractNumId w:val="0"/>
  </w:num>
  <w:num w:numId="4">
    <w:abstractNumId w:val="9"/>
  </w:num>
  <w:num w:numId="5">
    <w:abstractNumId w:val="3"/>
  </w:num>
  <w:num w:numId="6">
    <w:abstractNumId w:val="7"/>
  </w:num>
  <w:num w:numId="7">
    <w:abstractNumId w:val="1"/>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D1"/>
    <w:rsid w:val="00007972"/>
    <w:rsid w:val="00031A31"/>
    <w:rsid w:val="000458E8"/>
    <w:rsid w:val="0005540A"/>
    <w:rsid w:val="000640F8"/>
    <w:rsid w:val="000854E3"/>
    <w:rsid w:val="00085830"/>
    <w:rsid w:val="00090855"/>
    <w:rsid w:val="00093383"/>
    <w:rsid w:val="000A016E"/>
    <w:rsid w:val="000C2C60"/>
    <w:rsid w:val="000E62B3"/>
    <w:rsid w:val="000E7829"/>
    <w:rsid w:val="00120B23"/>
    <w:rsid w:val="00146A17"/>
    <w:rsid w:val="00146DBD"/>
    <w:rsid w:val="001722EA"/>
    <w:rsid w:val="00173D86"/>
    <w:rsid w:val="00175957"/>
    <w:rsid w:val="001857BD"/>
    <w:rsid w:val="00185887"/>
    <w:rsid w:val="001923D3"/>
    <w:rsid w:val="001948AA"/>
    <w:rsid w:val="001B3A13"/>
    <w:rsid w:val="001B4B19"/>
    <w:rsid w:val="001B5D77"/>
    <w:rsid w:val="001F4D09"/>
    <w:rsid w:val="00203CE0"/>
    <w:rsid w:val="00216787"/>
    <w:rsid w:val="00223B40"/>
    <w:rsid w:val="002347AA"/>
    <w:rsid w:val="0023505A"/>
    <w:rsid w:val="00245624"/>
    <w:rsid w:val="002456D6"/>
    <w:rsid w:val="002A3983"/>
    <w:rsid w:val="002D16F0"/>
    <w:rsid w:val="002D30C9"/>
    <w:rsid w:val="002F23AF"/>
    <w:rsid w:val="002F53C7"/>
    <w:rsid w:val="003272BC"/>
    <w:rsid w:val="00356A46"/>
    <w:rsid w:val="003579D1"/>
    <w:rsid w:val="00361670"/>
    <w:rsid w:val="003640A5"/>
    <w:rsid w:val="00370E8D"/>
    <w:rsid w:val="00371B05"/>
    <w:rsid w:val="003927E4"/>
    <w:rsid w:val="003958F3"/>
    <w:rsid w:val="003B4487"/>
    <w:rsid w:val="003D595A"/>
    <w:rsid w:val="003F182F"/>
    <w:rsid w:val="00406DD3"/>
    <w:rsid w:val="00423FB2"/>
    <w:rsid w:val="00427005"/>
    <w:rsid w:val="004312BE"/>
    <w:rsid w:val="004343ED"/>
    <w:rsid w:val="00441079"/>
    <w:rsid w:val="0044734E"/>
    <w:rsid w:val="0044780C"/>
    <w:rsid w:val="00455FBE"/>
    <w:rsid w:val="0045799B"/>
    <w:rsid w:val="004863D2"/>
    <w:rsid w:val="00490382"/>
    <w:rsid w:val="004A4884"/>
    <w:rsid w:val="004C0EED"/>
    <w:rsid w:val="004E0019"/>
    <w:rsid w:val="004F59C5"/>
    <w:rsid w:val="00503637"/>
    <w:rsid w:val="00510CAC"/>
    <w:rsid w:val="00522553"/>
    <w:rsid w:val="00555351"/>
    <w:rsid w:val="00566143"/>
    <w:rsid w:val="005F67E8"/>
    <w:rsid w:val="006031EA"/>
    <w:rsid w:val="00612FF7"/>
    <w:rsid w:val="0061381F"/>
    <w:rsid w:val="00660D23"/>
    <w:rsid w:val="0067372B"/>
    <w:rsid w:val="006B5D2F"/>
    <w:rsid w:val="006E4448"/>
    <w:rsid w:val="0070054E"/>
    <w:rsid w:val="00700DFF"/>
    <w:rsid w:val="007221D0"/>
    <w:rsid w:val="00735E99"/>
    <w:rsid w:val="00744F66"/>
    <w:rsid w:val="00746DD1"/>
    <w:rsid w:val="00757B45"/>
    <w:rsid w:val="00765281"/>
    <w:rsid w:val="00783DB9"/>
    <w:rsid w:val="007A3CF5"/>
    <w:rsid w:val="007A7C65"/>
    <w:rsid w:val="007B3687"/>
    <w:rsid w:val="007B7E00"/>
    <w:rsid w:val="008054A0"/>
    <w:rsid w:val="00821616"/>
    <w:rsid w:val="0084170A"/>
    <w:rsid w:val="008435B4"/>
    <w:rsid w:val="008436AF"/>
    <w:rsid w:val="008821E9"/>
    <w:rsid w:val="00884C5B"/>
    <w:rsid w:val="00886D54"/>
    <w:rsid w:val="00893FC7"/>
    <w:rsid w:val="0089737A"/>
    <w:rsid w:val="008B2269"/>
    <w:rsid w:val="008C3D6B"/>
    <w:rsid w:val="008C5300"/>
    <w:rsid w:val="008D405E"/>
    <w:rsid w:val="008E5EAE"/>
    <w:rsid w:val="008E72CF"/>
    <w:rsid w:val="008F541F"/>
    <w:rsid w:val="00911691"/>
    <w:rsid w:val="0091359D"/>
    <w:rsid w:val="00942D75"/>
    <w:rsid w:val="009664FB"/>
    <w:rsid w:val="00991A53"/>
    <w:rsid w:val="0099519A"/>
    <w:rsid w:val="00997403"/>
    <w:rsid w:val="0099748C"/>
    <w:rsid w:val="009B0685"/>
    <w:rsid w:val="009C3BD9"/>
    <w:rsid w:val="009D7E83"/>
    <w:rsid w:val="00A24412"/>
    <w:rsid w:val="00A2623E"/>
    <w:rsid w:val="00A26301"/>
    <w:rsid w:val="00A35510"/>
    <w:rsid w:val="00A44699"/>
    <w:rsid w:val="00A44C1B"/>
    <w:rsid w:val="00A53D6C"/>
    <w:rsid w:val="00A660E4"/>
    <w:rsid w:val="00A720BB"/>
    <w:rsid w:val="00A856E5"/>
    <w:rsid w:val="00A86AFA"/>
    <w:rsid w:val="00AA24EE"/>
    <w:rsid w:val="00AA4F16"/>
    <w:rsid w:val="00AB281A"/>
    <w:rsid w:val="00AB4533"/>
    <w:rsid w:val="00AC12CD"/>
    <w:rsid w:val="00AC24D1"/>
    <w:rsid w:val="00AD6A78"/>
    <w:rsid w:val="00AE5F45"/>
    <w:rsid w:val="00B013E6"/>
    <w:rsid w:val="00B12ACA"/>
    <w:rsid w:val="00B25335"/>
    <w:rsid w:val="00B7773F"/>
    <w:rsid w:val="00B77BA9"/>
    <w:rsid w:val="00B8389D"/>
    <w:rsid w:val="00B91CF8"/>
    <w:rsid w:val="00B93F54"/>
    <w:rsid w:val="00BA5F99"/>
    <w:rsid w:val="00BA6F77"/>
    <w:rsid w:val="00BC2922"/>
    <w:rsid w:val="00BC7A83"/>
    <w:rsid w:val="00BE28CB"/>
    <w:rsid w:val="00C337D1"/>
    <w:rsid w:val="00C345AC"/>
    <w:rsid w:val="00C44C27"/>
    <w:rsid w:val="00C47816"/>
    <w:rsid w:val="00C5196E"/>
    <w:rsid w:val="00C54B1D"/>
    <w:rsid w:val="00C57703"/>
    <w:rsid w:val="00C57860"/>
    <w:rsid w:val="00C705E3"/>
    <w:rsid w:val="00C70C01"/>
    <w:rsid w:val="00C83BFF"/>
    <w:rsid w:val="00CA04E3"/>
    <w:rsid w:val="00CA0934"/>
    <w:rsid w:val="00CD6E0E"/>
    <w:rsid w:val="00CF32CC"/>
    <w:rsid w:val="00D05CE0"/>
    <w:rsid w:val="00D10248"/>
    <w:rsid w:val="00D121F5"/>
    <w:rsid w:val="00D14C77"/>
    <w:rsid w:val="00D17596"/>
    <w:rsid w:val="00D21825"/>
    <w:rsid w:val="00D479D3"/>
    <w:rsid w:val="00D609C3"/>
    <w:rsid w:val="00D75B55"/>
    <w:rsid w:val="00D82962"/>
    <w:rsid w:val="00D90B7E"/>
    <w:rsid w:val="00D96B6C"/>
    <w:rsid w:val="00DA098E"/>
    <w:rsid w:val="00DC04CC"/>
    <w:rsid w:val="00DC34D4"/>
    <w:rsid w:val="00DC6956"/>
    <w:rsid w:val="00DE3D2C"/>
    <w:rsid w:val="00DE56F5"/>
    <w:rsid w:val="00E04FA5"/>
    <w:rsid w:val="00E15C28"/>
    <w:rsid w:val="00E15F4E"/>
    <w:rsid w:val="00E32F1B"/>
    <w:rsid w:val="00E3317F"/>
    <w:rsid w:val="00E34CA9"/>
    <w:rsid w:val="00E4056C"/>
    <w:rsid w:val="00E469CA"/>
    <w:rsid w:val="00E5313D"/>
    <w:rsid w:val="00E5655A"/>
    <w:rsid w:val="00E65344"/>
    <w:rsid w:val="00E7076D"/>
    <w:rsid w:val="00E72BBD"/>
    <w:rsid w:val="00E9228B"/>
    <w:rsid w:val="00E96E41"/>
    <w:rsid w:val="00EA468F"/>
    <w:rsid w:val="00EA611D"/>
    <w:rsid w:val="00EE6368"/>
    <w:rsid w:val="00EF39DC"/>
    <w:rsid w:val="00EF3B70"/>
    <w:rsid w:val="00F3727C"/>
    <w:rsid w:val="00F56AAA"/>
    <w:rsid w:val="00F672AF"/>
    <w:rsid w:val="00F74D15"/>
    <w:rsid w:val="00F93A82"/>
    <w:rsid w:val="00FA5F29"/>
    <w:rsid w:val="00FB05C6"/>
    <w:rsid w:val="00FB3195"/>
    <w:rsid w:val="00FB4E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E0FEC-2594-4BDA-A3E0-4372BD7B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2D16F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96B6C"/>
    <w:pPr>
      <w:keepNext/>
      <w:spacing w:after="0" w:line="240" w:lineRule="auto"/>
      <w:outlineLvl w:val="1"/>
    </w:pPr>
    <w:rPr>
      <w:rFonts w:ascii="Times New Roman" w:eastAsia="Times New Roman" w:hAnsi="Times New Roman"/>
      <w:b/>
      <w:sz w:val="20"/>
      <w:szCs w:val="20"/>
      <w:lang w:val="nl-B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D1"/>
    <w:pPr>
      <w:ind w:left="720"/>
      <w:contextualSpacing/>
    </w:pPr>
    <w:rPr>
      <w:lang w:val="fr-BE"/>
    </w:rPr>
  </w:style>
  <w:style w:type="character" w:customStyle="1" w:styleId="Heading2Char">
    <w:name w:val="Heading 2 Char"/>
    <w:link w:val="Heading2"/>
    <w:rsid w:val="00D96B6C"/>
    <w:rPr>
      <w:rFonts w:ascii="Times New Roman" w:eastAsia="Times New Roman" w:hAnsi="Times New Roman"/>
      <w:b/>
      <w:lang w:val="nl-BE" w:eastAsia="nl-NL"/>
    </w:rPr>
  </w:style>
  <w:style w:type="paragraph" w:styleId="Header">
    <w:name w:val="header"/>
    <w:basedOn w:val="Normal"/>
    <w:link w:val="HeaderChar"/>
    <w:unhideWhenUsed/>
    <w:rsid w:val="00D96B6C"/>
    <w:pPr>
      <w:tabs>
        <w:tab w:val="center" w:pos="4513"/>
        <w:tab w:val="right" w:pos="9026"/>
      </w:tabs>
    </w:pPr>
  </w:style>
  <w:style w:type="character" w:customStyle="1" w:styleId="HeaderChar">
    <w:name w:val="Header Char"/>
    <w:link w:val="Header"/>
    <w:uiPriority w:val="99"/>
    <w:rsid w:val="00D96B6C"/>
    <w:rPr>
      <w:sz w:val="22"/>
      <w:szCs w:val="22"/>
      <w:lang w:eastAsia="en-US"/>
    </w:rPr>
  </w:style>
  <w:style w:type="character" w:customStyle="1" w:styleId="Heading1Char">
    <w:name w:val="Heading 1 Char"/>
    <w:link w:val="Heading1"/>
    <w:uiPriority w:val="9"/>
    <w:rsid w:val="002D16F0"/>
    <w:rPr>
      <w:rFonts w:ascii="Cambria" w:eastAsia="Times New Roman" w:hAnsi="Cambria" w:cs="Times New Roman"/>
      <w:b/>
      <w:bCs/>
      <w:kern w:val="32"/>
      <w:sz w:val="32"/>
      <w:szCs w:val="32"/>
      <w:lang w:val="fr-FR" w:eastAsia="en-US"/>
    </w:rPr>
  </w:style>
  <w:style w:type="character" w:styleId="Hyperlink">
    <w:name w:val="Hyperlink"/>
    <w:uiPriority w:val="99"/>
    <w:unhideWhenUsed/>
    <w:rsid w:val="002D16F0"/>
    <w:rPr>
      <w:color w:val="0000FF"/>
      <w:u w:val="single"/>
    </w:rPr>
  </w:style>
  <w:style w:type="paragraph" w:styleId="Footer">
    <w:name w:val="footer"/>
    <w:basedOn w:val="Normal"/>
    <w:link w:val="FooterChar"/>
    <w:uiPriority w:val="99"/>
    <w:unhideWhenUsed/>
    <w:rsid w:val="002D16F0"/>
    <w:pPr>
      <w:tabs>
        <w:tab w:val="center" w:pos="4536"/>
        <w:tab w:val="right" w:pos="9072"/>
      </w:tabs>
      <w:spacing w:after="0" w:line="240" w:lineRule="auto"/>
    </w:pPr>
    <w:rPr>
      <w:lang w:val="nl-BE"/>
    </w:rPr>
  </w:style>
  <w:style w:type="character" w:customStyle="1" w:styleId="FooterChar">
    <w:name w:val="Footer Char"/>
    <w:link w:val="Footer"/>
    <w:uiPriority w:val="99"/>
    <w:rsid w:val="002D16F0"/>
    <w:rPr>
      <w:sz w:val="22"/>
      <w:szCs w:val="22"/>
      <w:lang w:eastAsia="en-US"/>
    </w:rPr>
  </w:style>
  <w:style w:type="paragraph" w:styleId="BalloonText">
    <w:name w:val="Balloon Text"/>
    <w:basedOn w:val="Normal"/>
    <w:link w:val="BalloonTextChar"/>
    <w:uiPriority w:val="99"/>
    <w:semiHidden/>
    <w:unhideWhenUsed/>
    <w:rsid w:val="002D16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16F0"/>
    <w:rPr>
      <w:rFonts w:ascii="Tahoma" w:hAnsi="Tahoma" w:cs="Tahoma"/>
      <w:sz w:val="16"/>
      <w:szCs w:val="16"/>
      <w:lang w:val="fr-FR" w:eastAsia="en-US"/>
    </w:rPr>
  </w:style>
  <w:style w:type="character" w:styleId="Emphasis">
    <w:name w:val="Emphasis"/>
    <w:uiPriority w:val="20"/>
    <w:qFormat/>
    <w:rsid w:val="00A35510"/>
    <w:rPr>
      <w:b/>
      <w:bCs/>
      <w:i w:val="0"/>
      <w:iCs w:val="0"/>
    </w:rPr>
  </w:style>
  <w:style w:type="character" w:customStyle="1" w:styleId="st">
    <w:name w:val="st"/>
    <w:rsid w:val="00A35510"/>
  </w:style>
  <w:style w:type="character" w:customStyle="1" w:styleId="hps">
    <w:name w:val="hps"/>
    <w:rsid w:val="00B25335"/>
  </w:style>
  <w:style w:type="paragraph" w:customStyle="1" w:styleId="Default">
    <w:name w:val="Default"/>
    <w:rsid w:val="008C3D6B"/>
    <w:pPr>
      <w:autoSpaceDE w:val="0"/>
      <w:autoSpaceDN w:val="0"/>
      <w:adjustRightInd w:val="0"/>
    </w:pPr>
    <w:rPr>
      <w:rFonts w:ascii="Times New Roman" w:hAnsi="Times New Roman"/>
      <w:color w:val="000000"/>
      <w:sz w:val="24"/>
      <w:szCs w:val="24"/>
      <w:lang w:val="en-US" w:eastAsia="zh-CN"/>
    </w:rPr>
  </w:style>
  <w:style w:type="paragraph" w:styleId="NormalWeb">
    <w:name w:val="Normal (Web)"/>
    <w:basedOn w:val="Normal"/>
    <w:uiPriority w:val="99"/>
    <w:unhideWhenUsed/>
    <w:rsid w:val="00D14C77"/>
    <w:pPr>
      <w:spacing w:before="100" w:beforeAutospacing="1" w:after="100" w:afterAutospacing="1" w:line="240" w:lineRule="auto"/>
    </w:pPr>
    <w:rPr>
      <w:rFonts w:ascii="Times New Roman" w:eastAsia="Times New Roman" w:hAnsi="Times New Roman"/>
      <w:sz w:val="24"/>
      <w:szCs w:val="24"/>
      <w:lang w:val="en-US" w:eastAsia="zh-CN"/>
    </w:rPr>
  </w:style>
  <w:style w:type="character" w:styleId="CommentReference">
    <w:name w:val="annotation reference"/>
    <w:basedOn w:val="DefaultParagraphFont"/>
    <w:uiPriority w:val="99"/>
    <w:semiHidden/>
    <w:unhideWhenUsed/>
    <w:rsid w:val="007B7E00"/>
    <w:rPr>
      <w:sz w:val="16"/>
      <w:szCs w:val="16"/>
    </w:rPr>
  </w:style>
  <w:style w:type="paragraph" w:styleId="CommentText">
    <w:name w:val="annotation text"/>
    <w:basedOn w:val="Normal"/>
    <w:link w:val="CommentTextChar"/>
    <w:uiPriority w:val="99"/>
    <w:semiHidden/>
    <w:unhideWhenUsed/>
    <w:rsid w:val="007B7E00"/>
    <w:pPr>
      <w:spacing w:line="240" w:lineRule="auto"/>
    </w:pPr>
    <w:rPr>
      <w:sz w:val="20"/>
      <w:szCs w:val="20"/>
    </w:rPr>
  </w:style>
  <w:style w:type="character" w:customStyle="1" w:styleId="CommentTextChar">
    <w:name w:val="Comment Text Char"/>
    <w:basedOn w:val="DefaultParagraphFont"/>
    <w:link w:val="CommentText"/>
    <w:uiPriority w:val="99"/>
    <w:semiHidden/>
    <w:rsid w:val="007B7E00"/>
    <w:rPr>
      <w:lang w:eastAsia="en-US"/>
    </w:rPr>
  </w:style>
  <w:style w:type="paragraph" w:styleId="CommentSubject">
    <w:name w:val="annotation subject"/>
    <w:basedOn w:val="CommentText"/>
    <w:next w:val="CommentText"/>
    <w:link w:val="CommentSubjectChar"/>
    <w:uiPriority w:val="99"/>
    <w:semiHidden/>
    <w:unhideWhenUsed/>
    <w:rsid w:val="007B7E00"/>
    <w:rPr>
      <w:b/>
      <w:bCs/>
    </w:rPr>
  </w:style>
  <w:style w:type="character" w:customStyle="1" w:styleId="CommentSubjectChar">
    <w:name w:val="Comment Subject Char"/>
    <w:basedOn w:val="CommentTextChar"/>
    <w:link w:val="CommentSubject"/>
    <w:uiPriority w:val="99"/>
    <w:semiHidden/>
    <w:rsid w:val="007B7E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983001">
      <w:bodyDiv w:val="1"/>
      <w:marLeft w:val="0"/>
      <w:marRight w:val="0"/>
      <w:marTop w:val="0"/>
      <w:marBottom w:val="0"/>
      <w:divBdr>
        <w:top w:val="none" w:sz="0" w:space="0" w:color="auto"/>
        <w:left w:val="none" w:sz="0" w:space="0" w:color="auto"/>
        <w:bottom w:val="none" w:sz="0" w:space="0" w:color="auto"/>
        <w:right w:val="none" w:sz="0" w:space="0" w:color="auto"/>
      </w:divBdr>
      <w:divsChild>
        <w:div w:id="197011048">
          <w:marLeft w:val="1440"/>
          <w:marRight w:val="0"/>
          <w:marTop w:val="0"/>
          <w:marBottom w:val="0"/>
          <w:divBdr>
            <w:top w:val="none" w:sz="0" w:space="0" w:color="auto"/>
            <w:left w:val="none" w:sz="0" w:space="0" w:color="auto"/>
            <w:bottom w:val="none" w:sz="0" w:space="0" w:color="auto"/>
            <w:right w:val="none" w:sz="0" w:space="0" w:color="auto"/>
          </w:divBdr>
        </w:div>
        <w:div w:id="313682189">
          <w:marLeft w:val="1440"/>
          <w:marRight w:val="0"/>
          <w:marTop w:val="0"/>
          <w:marBottom w:val="0"/>
          <w:divBdr>
            <w:top w:val="none" w:sz="0" w:space="0" w:color="auto"/>
            <w:left w:val="none" w:sz="0" w:space="0" w:color="auto"/>
            <w:bottom w:val="none" w:sz="0" w:space="0" w:color="auto"/>
            <w:right w:val="none" w:sz="0" w:space="0" w:color="auto"/>
          </w:divBdr>
        </w:div>
        <w:div w:id="671184033">
          <w:marLeft w:val="720"/>
          <w:marRight w:val="0"/>
          <w:marTop w:val="0"/>
          <w:marBottom w:val="0"/>
          <w:divBdr>
            <w:top w:val="none" w:sz="0" w:space="0" w:color="auto"/>
            <w:left w:val="none" w:sz="0" w:space="0" w:color="auto"/>
            <w:bottom w:val="none" w:sz="0" w:space="0" w:color="auto"/>
            <w:right w:val="none" w:sz="0" w:space="0" w:color="auto"/>
          </w:divBdr>
        </w:div>
        <w:div w:id="1187981719">
          <w:marLeft w:val="1440"/>
          <w:marRight w:val="0"/>
          <w:marTop w:val="0"/>
          <w:marBottom w:val="0"/>
          <w:divBdr>
            <w:top w:val="none" w:sz="0" w:space="0" w:color="auto"/>
            <w:left w:val="none" w:sz="0" w:space="0" w:color="auto"/>
            <w:bottom w:val="none" w:sz="0" w:space="0" w:color="auto"/>
            <w:right w:val="none" w:sz="0" w:space="0" w:color="auto"/>
          </w:divBdr>
        </w:div>
        <w:div w:id="1418744308">
          <w:marLeft w:val="1440"/>
          <w:marRight w:val="0"/>
          <w:marTop w:val="0"/>
          <w:marBottom w:val="0"/>
          <w:divBdr>
            <w:top w:val="none" w:sz="0" w:space="0" w:color="auto"/>
            <w:left w:val="none" w:sz="0" w:space="0" w:color="auto"/>
            <w:bottom w:val="none" w:sz="0" w:space="0" w:color="auto"/>
            <w:right w:val="none" w:sz="0" w:space="0" w:color="auto"/>
          </w:divBdr>
        </w:div>
        <w:div w:id="1631092458">
          <w:marLeft w:val="2160"/>
          <w:marRight w:val="0"/>
          <w:marTop w:val="0"/>
          <w:marBottom w:val="0"/>
          <w:divBdr>
            <w:top w:val="none" w:sz="0" w:space="0" w:color="auto"/>
            <w:left w:val="none" w:sz="0" w:space="0" w:color="auto"/>
            <w:bottom w:val="none" w:sz="0" w:space="0" w:color="auto"/>
            <w:right w:val="none" w:sz="0" w:space="0" w:color="auto"/>
          </w:divBdr>
        </w:div>
      </w:divsChild>
    </w:div>
    <w:div w:id="880828362">
      <w:bodyDiv w:val="1"/>
      <w:marLeft w:val="0"/>
      <w:marRight w:val="0"/>
      <w:marTop w:val="0"/>
      <w:marBottom w:val="0"/>
      <w:divBdr>
        <w:top w:val="none" w:sz="0" w:space="0" w:color="auto"/>
        <w:left w:val="none" w:sz="0" w:space="0" w:color="auto"/>
        <w:bottom w:val="none" w:sz="0" w:space="0" w:color="auto"/>
        <w:right w:val="none" w:sz="0" w:space="0" w:color="auto"/>
      </w:divBdr>
    </w:div>
    <w:div w:id="1610164982">
      <w:bodyDiv w:val="1"/>
      <w:marLeft w:val="0"/>
      <w:marRight w:val="0"/>
      <w:marTop w:val="0"/>
      <w:marBottom w:val="0"/>
      <w:divBdr>
        <w:top w:val="none" w:sz="0" w:space="0" w:color="auto"/>
        <w:left w:val="none" w:sz="0" w:space="0" w:color="auto"/>
        <w:bottom w:val="none" w:sz="0" w:space="0" w:color="auto"/>
        <w:right w:val="none" w:sz="0" w:space="0" w:color="auto"/>
      </w:divBdr>
      <w:divsChild>
        <w:div w:id="1764107779">
          <w:marLeft w:val="0"/>
          <w:marRight w:val="0"/>
          <w:marTop w:val="450"/>
          <w:marBottom w:val="450"/>
          <w:divBdr>
            <w:top w:val="none" w:sz="0" w:space="0" w:color="auto"/>
            <w:left w:val="none" w:sz="0" w:space="0" w:color="auto"/>
            <w:bottom w:val="none" w:sz="0" w:space="0" w:color="auto"/>
            <w:right w:val="none" w:sz="0" w:space="0" w:color="auto"/>
          </w:divBdr>
          <w:divsChild>
            <w:div w:id="1784566639">
              <w:marLeft w:val="-450"/>
              <w:marRight w:val="0"/>
              <w:marTop w:val="0"/>
              <w:marBottom w:val="0"/>
              <w:divBdr>
                <w:top w:val="none" w:sz="0" w:space="0" w:color="auto"/>
                <w:left w:val="none" w:sz="0" w:space="0" w:color="auto"/>
                <w:bottom w:val="none" w:sz="0" w:space="0" w:color="auto"/>
                <w:right w:val="none" w:sz="0" w:space="0" w:color="auto"/>
              </w:divBdr>
              <w:divsChild>
                <w:div w:id="389617164">
                  <w:marLeft w:val="450"/>
                  <w:marRight w:val="0"/>
                  <w:marTop w:val="0"/>
                  <w:marBottom w:val="0"/>
                  <w:divBdr>
                    <w:top w:val="none" w:sz="0" w:space="0" w:color="auto"/>
                    <w:left w:val="none" w:sz="0" w:space="0" w:color="auto"/>
                    <w:bottom w:val="none" w:sz="0" w:space="0" w:color="auto"/>
                    <w:right w:val="none" w:sz="0" w:space="0" w:color="auto"/>
                  </w:divBdr>
                  <w:divsChild>
                    <w:div w:id="680860237">
                      <w:marLeft w:val="0"/>
                      <w:marRight w:val="0"/>
                      <w:marTop w:val="0"/>
                      <w:marBottom w:val="0"/>
                      <w:divBdr>
                        <w:top w:val="none" w:sz="0" w:space="0" w:color="auto"/>
                        <w:left w:val="none" w:sz="0" w:space="0" w:color="auto"/>
                        <w:bottom w:val="none" w:sz="0" w:space="0" w:color="auto"/>
                        <w:right w:val="none" w:sz="0" w:space="0" w:color="auto"/>
                      </w:divBdr>
                      <w:divsChild>
                        <w:div w:id="476066954">
                          <w:marLeft w:val="0"/>
                          <w:marRight w:val="0"/>
                          <w:marTop w:val="0"/>
                          <w:marBottom w:val="0"/>
                          <w:divBdr>
                            <w:top w:val="single" w:sz="6" w:space="15" w:color="9E9E9E"/>
                            <w:left w:val="single" w:sz="6" w:space="15" w:color="9E9E9E"/>
                            <w:bottom w:val="single" w:sz="6" w:space="15" w:color="9E9E9E"/>
                            <w:right w:val="single" w:sz="6" w:space="15" w:color="9E9E9E"/>
                          </w:divBdr>
                          <w:divsChild>
                            <w:div w:id="1163468879">
                              <w:marLeft w:val="0"/>
                              <w:marRight w:val="0"/>
                              <w:marTop w:val="0"/>
                              <w:marBottom w:val="0"/>
                              <w:divBdr>
                                <w:top w:val="none" w:sz="0" w:space="0" w:color="auto"/>
                                <w:left w:val="none" w:sz="0" w:space="0" w:color="auto"/>
                                <w:bottom w:val="none" w:sz="0" w:space="0" w:color="auto"/>
                                <w:right w:val="none" w:sz="0" w:space="0" w:color="auto"/>
                              </w:divBdr>
                            </w:div>
                            <w:div w:id="2104182262">
                              <w:marLeft w:val="0"/>
                              <w:marRight w:val="0"/>
                              <w:marTop w:val="0"/>
                              <w:marBottom w:val="0"/>
                              <w:divBdr>
                                <w:top w:val="none" w:sz="0" w:space="0" w:color="auto"/>
                                <w:left w:val="none" w:sz="0" w:space="0" w:color="auto"/>
                                <w:bottom w:val="none" w:sz="0" w:space="0" w:color="auto"/>
                                <w:right w:val="none" w:sz="0" w:space="0" w:color="auto"/>
                              </w:divBdr>
                              <w:divsChild>
                                <w:div w:id="605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fevia.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C33F9-B9CA-4C85-93B4-D2573EE8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2805</Characters>
  <Application>Microsoft Office Word</Application>
  <DocSecurity>4</DocSecurity>
  <Lines>23</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Fevia</Company>
  <LinksUpToDate>false</LinksUpToDate>
  <CharactersWithSpaces>3309</CharactersWithSpaces>
  <SharedDoc>false</SharedDoc>
  <HLinks>
    <vt:vector size="12" baseType="variant">
      <vt:variant>
        <vt:i4>393268</vt:i4>
      </vt:variant>
      <vt:variant>
        <vt:i4>3</vt:i4>
      </vt:variant>
      <vt:variant>
        <vt:i4>0</vt:i4>
      </vt:variant>
      <vt:variant>
        <vt:i4>5</vt:i4>
      </vt:variant>
      <vt:variant>
        <vt:lpwstr>mailto:cm@fevia.be</vt:lpwstr>
      </vt:variant>
      <vt:variant>
        <vt:lpwstr/>
      </vt:variant>
      <vt:variant>
        <vt:i4>7471111</vt:i4>
      </vt:variant>
      <vt:variant>
        <vt:i4>0</vt:i4>
      </vt:variant>
      <vt:variant>
        <vt:i4>0</vt:i4>
      </vt:variant>
      <vt:variant>
        <vt:i4>5</vt:i4>
      </vt:variant>
      <vt:variant>
        <vt:lpwstr>mailto:bernard.deryckere@alpro.com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Standaert</dc:creator>
  <cp:lastModifiedBy>Garance de Villenfagne</cp:lastModifiedBy>
  <cp:revision>2</cp:revision>
  <cp:lastPrinted>2014-03-26T11:25:00Z</cp:lastPrinted>
  <dcterms:created xsi:type="dcterms:W3CDTF">2014-03-31T14:56:00Z</dcterms:created>
  <dcterms:modified xsi:type="dcterms:W3CDTF">2014-03-31T14:56:00Z</dcterms:modified>
</cp:coreProperties>
</file>