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BAB9" w14:textId="1BB88010" w:rsidR="00303541" w:rsidRDefault="00303541" w:rsidP="00303541">
      <w:pPr>
        <w:jc w:val="right"/>
        <w:rPr>
          <w:rFonts w:ascii="Tahoma" w:hAnsi="Tahoma" w:cs="Tahoma"/>
          <w:color w:val="0D1957"/>
          <w:sz w:val="36"/>
          <w:szCs w:val="36"/>
          <w:lang w:val="en-GB"/>
        </w:rPr>
      </w:pPr>
      <w:r>
        <w:rPr>
          <w:rFonts w:ascii="Tahoma" w:hAnsi="Tahoma" w:cs="Tahoma"/>
          <w:color w:val="0D1957"/>
          <w:sz w:val="36"/>
          <w:szCs w:val="36"/>
          <w:lang w:val="en-GB"/>
        </w:rPr>
        <w:t>FOR INFO</w:t>
      </w:r>
    </w:p>
    <w:p w14:paraId="4BF3421E" w14:textId="255E671D" w:rsidR="00303541" w:rsidRDefault="001F188D" w:rsidP="00303541">
      <w:pPr>
        <w:jc w:val="right"/>
        <w:rPr>
          <w:rFonts w:cs="Arial"/>
          <w:szCs w:val="36"/>
          <w:lang w:val="en-GB"/>
        </w:rPr>
      </w:pPr>
      <w:r>
        <w:rPr>
          <w:rFonts w:cs="Arial"/>
          <w:szCs w:val="36"/>
          <w:lang w:val="en-GB"/>
        </w:rPr>
        <w:t>2</w:t>
      </w:r>
      <w:r w:rsidR="00874AFB">
        <w:rPr>
          <w:rFonts w:cs="Arial"/>
          <w:szCs w:val="36"/>
          <w:lang w:val="en-GB"/>
        </w:rPr>
        <w:t>7 September</w:t>
      </w:r>
      <w:r w:rsidR="00F33904">
        <w:rPr>
          <w:rFonts w:cs="Arial"/>
          <w:szCs w:val="36"/>
          <w:lang w:val="en-GB"/>
        </w:rPr>
        <w:t xml:space="preserve"> 2021</w:t>
      </w:r>
    </w:p>
    <w:p w14:paraId="4E3C5CDA" w14:textId="77777777" w:rsidR="00303541" w:rsidRDefault="00303541" w:rsidP="00303541">
      <w:pPr>
        <w:rPr>
          <w:rFonts w:cs="Arial"/>
          <w:color w:val="0D1957"/>
          <w:szCs w:val="36"/>
          <w:lang w:val="en-GB"/>
        </w:rPr>
      </w:pPr>
    </w:p>
    <w:p w14:paraId="7CC2FCDF" w14:textId="77777777" w:rsidR="00303541" w:rsidRDefault="00303541" w:rsidP="00303541">
      <w:pPr>
        <w:rPr>
          <w:rFonts w:cs="Arial"/>
          <w:color w:val="0D1957"/>
          <w:szCs w:val="36"/>
          <w:lang w:val="en-GB"/>
        </w:rPr>
      </w:pPr>
    </w:p>
    <w:p w14:paraId="4903CCAA" w14:textId="77777777" w:rsidR="00303541" w:rsidRDefault="00303541" w:rsidP="00303541">
      <w:pPr>
        <w:rPr>
          <w:rFonts w:cs="Arial"/>
          <w:b/>
          <w:bCs/>
          <w:color w:val="0D1957"/>
          <w:sz w:val="28"/>
          <w:szCs w:val="36"/>
          <w:lang w:val="en-GB"/>
        </w:rPr>
      </w:pPr>
      <w:r>
        <w:rPr>
          <w:rFonts w:cs="Arial"/>
          <w:b/>
          <w:bCs/>
          <w:color w:val="0D1957"/>
          <w:sz w:val="28"/>
          <w:szCs w:val="36"/>
          <w:lang w:val="en-GB"/>
        </w:rPr>
        <w:t>Monthly monitoring of raw material prices</w:t>
      </w:r>
    </w:p>
    <w:p w14:paraId="31CF78D0" w14:textId="480BD7E8" w:rsidR="00303541" w:rsidRDefault="00303541" w:rsidP="00303541">
      <w:pPr>
        <w:rPr>
          <w:rFonts w:cs="Arial"/>
          <w:szCs w:val="22"/>
          <w:lang w:val="en-GB"/>
        </w:rPr>
      </w:pPr>
    </w:p>
    <w:p w14:paraId="0966AC29" w14:textId="77777777" w:rsidR="003B4808" w:rsidRDefault="003B4808" w:rsidP="00303541">
      <w:pPr>
        <w:rPr>
          <w:rFonts w:cs="Arial"/>
          <w:szCs w:val="22"/>
          <w:lang w:val="en-GB"/>
        </w:rPr>
      </w:pPr>
    </w:p>
    <w:p w14:paraId="384DB51D" w14:textId="2505B16E" w:rsidR="0025410E" w:rsidRDefault="0025410E" w:rsidP="00303541">
      <w:pPr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Dear all,</w:t>
      </w:r>
    </w:p>
    <w:p w14:paraId="7F5AA258" w14:textId="77777777" w:rsidR="00303541" w:rsidRDefault="00303541" w:rsidP="00303541">
      <w:pPr>
        <w:jc w:val="both"/>
        <w:rPr>
          <w:rFonts w:cs="Arial"/>
          <w:szCs w:val="22"/>
          <w:lang w:val="en-GB"/>
        </w:rPr>
      </w:pPr>
    </w:p>
    <w:p w14:paraId="5313018E" w14:textId="77777777" w:rsidR="00303541" w:rsidRDefault="00303541" w:rsidP="00303541">
      <w:pPr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Please find in annex 1 FoodDrinkEurope’s overview of monthly prices of key agricultural products.</w:t>
      </w:r>
    </w:p>
    <w:p w14:paraId="1B2F7A88" w14:textId="77777777" w:rsidR="00303541" w:rsidRDefault="00303541" w:rsidP="00303541">
      <w:pPr>
        <w:jc w:val="both"/>
        <w:rPr>
          <w:rFonts w:cs="Arial"/>
          <w:szCs w:val="22"/>
          <w:lang w:val="en-GB"/>
        </w:rPr>
      </w:pPr>
    </w:p>
    <w:p w14:paraId="7B6F2AF1" w14:textId="74C85457" w:rsidR="000153E2" w:rsidRDefault="00303541" w:rsidP="00303541">
      <w:pPr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Prices of the following products are monitored: white sugar, dairy products, meat products, </w:t>
      </w:r>
      <w:r w:rsidR="00E355A4">
        <w:rPr>
          <w:rFonts w:cs="Arial"/>
          <w:szCs w:val="22"/>
          <w:lang w:val="en-GB"/>
        </w:rPr>
        <w:t>cereals (</w:t>
      </w:r>
      <w:r>
        <w:rPr>
          <w:rFonts w:cs="Arial"/>
          <w:szCs w:val="22"/>
          <w:lang w:val="en-GB"/>
        </w:rPr>
        <w:t>maize</w:t>
      </w:r>
      <w:r w:rsidR="00E355A4">
        <w:rPr>
          <w:rFonts w:cs="Arial"/>
          <w:szCs w:val="22"/>
          <w:lang w:val="en-GB"/>
        </w:rPr>
        <w:t>,</w:t>
      </w:r>
      <w:r>
        <w:rPr>
          <w:rFonts w:cs="Arial"/>
          <w:szCs w:val="22"/>
          <w:lang w:val="en-GB"/>
        </w:rPr>
        <w:t xml:space="preserve"> wheat</w:t>
      </w:r>
      <w:r w:rsidR="00E355A4">
        <w:rPr>
          <w:rFonts w:cs="Arial"/>
          <w:szCs w:val="22"/>
          <w:lang w:val="en-GB"/>
        </w:rPr>
        <w:t xml:space="preserve"> and </w:t>
      </w:r>
      <w:r w:rsidR="001F188D">
        <w:rPr>
          <w:rFonts w:cs="Arial"/>
          <w:szCs w:val="22"/>
          <w:lang w:val="en-GB"/>
        </w:rPr>
        <w:t>oats</w:t>
      </w:r>
      <w:r w:rsidR="00E355A4">
        <w:rPr>
          <w:rFonts w:cs="Arial"/>
          <w:szCs w:val="22"/>
          <w:lang w:val="en-GB"/>
        </w:rPr>
        <w:t>)</w:t>
      </w:r>
      <w:r>
        <w:rPr>
          <w:rFonts w:cs="Arial"/>
          <w:szCs w:val="22"/>
          <w:lang w:val="en-GB"/>
        </w:rPr>
        <w:t>, oil crops and oils, coffee and cocoa.</w:t>
      </w:r>
    </w:p>
    <w:p w14:paraId="7B797ECA" w14:textId="7F0200F1" w:rsidR="001E5D25" w:rsidRDefault="001E5D25" w:rsidP="00303541">
      <w:pPr>
        <w:jc w:val="both"/>
        <w:rPr>
          <w:rFonts w:cs="Arial"/>
          <w:szCs w:val="22"/>
          <w:lang w:val="en-GB"/>
        </w:rPr>
      </w:pPr>
    </w:p>
    <w:p w14:paraId="0AEB1D9B" w14:textId="38E4F628" w:rsidR="001E5D25" w:rsidRPr="00DF6ED1" w:rsidRDefault="001E5D25" w:rsidP="00303541">
      <w:pPr>
        <w:jc w:val="both"/>
        <w:rPr>
          <w:rFonts w:cs="Arial"/>
          <w:szCs w:val="22"/>
          <w:lang w:val="en-GB"/>
        </w:rPr>
      </w:pPr>
      <w:r w:rsidRPr="00E06F16">
        <w:rPr>
          <w:rFonts w:cs="Arial"/>
          <w:szCs w:val="22"/>
          <w:lang w:val="en-GB"/>
        </w:rPr>
        <w:t>In order to fully reflect the changes needed as a result of the United Kingdom leaving the EU and to have comparable values</w:t>
      </w:r>
      <w:r w:rsidR="002F24D9" w:rsidRPr="00E06F16">
        <w:rPr>
          <w:rFonts w:cs="Arial"/>
          <w:szCs w:val="22"/>
          <w:lang w:val="en-GB"/>
        </w:rPr>
        <w:t xml:space="preserve"> throughout the monitored time period</w:t>
      </w:r>
      <w:r w:rsidRPr="00E06F16">
        <w:rPr>
          <w:rFonts w:cs="Arial"/>
          <w:szCs w:val="22"/>
          <w:lang w:val="en-GB"/>
        </w:rPr>
        <w:t xml:space="preserve">, EU prices have </w:t>
      </w:r>
      <w:r w:rsidR="002F24D9" w:rsidRPr="00E06F16">
        <w:rPr>
          <w:rFonts w:cs="Arial"/>
          <w:szCs w:val="22"/>
          <w:lang w:val="en-GB"/>
        </w:rPr>
        <w:t xml:space="preserve">retrospectively </w:t>
      </w:r>
      <w:r w:rsidRPr="00E06F16">
        <w:rPr>
          <w:rFonts w:cs="Arial"/>
          <w:szCs w:val="22"/>
          <w:lang w:val="en-GB"/>
        </w:rPr>
        <w:t>been adapted to EU27</w:t>
      </w:r>
      <w:r w:rsidR="00E06F16" w:rsidRPr="00E06F16">
        <w:rPr>
          <w:rFonts w:cs="Arial"/>
          <w:szCs w:val="22"/>
          <w:lang w:val="en-GB"/>
        </w:rPr>
        <w:t xml:space="preserve">. </w:t>
      </w:r>
      <w:r w:rsidR="00E06F16" w:rsidRPr="00524ED6">
        <w:rPr>
          <w:rFonts w:cs="Arial"/>
          <w:szCs w:val="22"/>
          <w:lang w:val="en-GB"/>
        </w:rPr>
        <w:t xml:space="preserve">An exception is sugar for which no </w:t>
      </w:r>
      <w:r w:rsidR="00534D89" w:rsidRPr="00524ED6">
        <w:rPr>
          <w:rFonts w:cs="Arial"/>
          <w:szCs w:val="22"/>
          <w:lang w:val="en-GB"/>
        </w:rPr>
        <w:t xml:space="preserve">EU27 </w:t>
      </w:r>
      <w:r w:rsidR="00E06F16" w:rsidRPr="00524ED6">
        <w:rPr>
          <w:rFonts w:cs="Arial"/>
          <w:szCs w:val="22"/>
          <w:lang w:val="en-GB"/>
        </w:rPr>
        <w:t>prices are available</w:t>
      </w:r>
      <w:r w:rsidR="00874AFB">
        <w:rPr>
          <w:rFonts w:cs="Arial"/>
          <w:szCs w:val="22"/>
          <w:lang w:val="en-GB"/>
        </w:rPr>
        <w:t xml:space="preserve"> before December 2020.</w:t>
      </w:r>
    </w:p>
    <w:p w14:paraId="17F2885D" w14:textId="77777777" w:rsidR="000153E2" w:rsidRDefault="000153E2" w:rsidP="00303541">
      <w:pPr>
        <w:jc w:val="both"/>
        <w:rPr>
          <w:rFonts w:cs="Arial"/>
          <w:szCs w:val="22"/>
          <w:lang w:val="en-GB"/>
        </w:rPr>
      </w:pPr>
    </w:p>
    <w:p w14:paraId="4F7C74C7" w14:textId="77777777" w:rsidR="00303541" w:rsidRDefault="00303541" w:rsidP="00303541">
      <w:pPr>
        <w:jc w:val="both"/>
        <w:rPr>
          <w:rFonts w:cs="Arial"/>
          <w:b/>
          <w:bCs/>
          <w:szCs w:val="22"/>
          <w:lang w:val="en-GB"/>
        </w:rPr>
      </w:pPr>
      <w:r>
        <w:rPr>
          <w:rFonts w:cs="Arial"/>
          <w:b/>
          <w:bCs/>
          <w:szCs w:val="22"/>
          <w:lang w:val="en-GB"/>
        </w:rPr>
        <w:t>The objective of this document is twofold:</w:t>
      </w:r>
    </w:p>
    <w:p w14:paraId="7498E8DB" w14:textId="6747462D" w:rsidR="00303541" w:rsidRDefault="00303541" w:rsidP="00303541">
      <w:pPr>
        <w:numPr>
          <w:ilvl w:val="0"/>
          <w:numId w:val="2"/>
        </w:numPr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To feed in the Economic Bulletin </w:t>
      </w:r>
      <w:hyperlink r:id="rId8" w:history="1">
        <w:r w:rsidR="00CD2C53">
          <w:rPr>
            <w:rStyle w:val="Hyperlink"/>
            <w:rFonts w:cs="Arial"/>
            <w:szCs w:val="22"/>
            <w:lang w:val="en-GB"/>
          </w:rPr>
          <w:t>Q2 of 2021</w:t>
        </w:r>
      </w:hyperlink>
    </w:p>
    <w:p w14:paraId="292A0F59" w14:textId="77777777" w:rsidR="00303541" w:rsidRDefault="00303541" w:rsidP="00303541">
      <w:pPr>
        <w:numPr>
          <w:ilvl w:val="0"/>
          <w:numId w:val="2"/>
        </w:numPr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To monitor agricultural raw material prices on a monthly basis.</w:t>
      </w:r>
    </w:p>
    <w:p w14:paraId="4D9B917D" w14:textId="77777777" w:rsidR="00303541" w:rsidRDefault="00303541" w:rsidP="00303541">
      <w:pPr>
        <w:jc w:val="both"/>
        <w:rPr>
          <w:rFonts w:cs="Arial"/>
          <w:szCs w:val="22"/>
          <w:lang w:val="en-GB"/>
        </w:rPr>
      </w:pPr>
    </w:p>
    <w:p w14:paraId="64293F2D" w14:textId="77777777" w:rsidR="00303541" w:rsidRDefault="00303541" w:rsidP="00303541">
      <w:pPr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We welcome your comments (</w:t>
      </w:r>
      <w:hyperlink r:id="rId9" w:history="1">
        <w:r>
          <w:rPr>
            <w:rStyle w:val="Hyperlink"/>
            <w:rFonts w:cs="Arial"/>
            <w:szCs w:val="22"/>
            <w:lang w:val="en-GB"/>
          </w:rPr>
          <w:t>d.nickel@fooddrinkeurope.eu</w:t>
        </w:r>
      </w:hyperlink>
      <w:r>
        <w:rPr>
          <w:rFonts w:cs="Arial"/>
          <w:szCs w:val="22"/>
          <w:lang w:val="en-GB"/>
        </w:rPr>
        <w:t xml:space="preserve">, </w:t>
      </w:r>
      <w:hyperlink r:id="rId10" w:history="1">
        <w:r>
          <w:rPr>
            <w:rStyle w:val="Hyperlink"/>
            <w:rFonts w:cs="Arial"/>
            <w:szCs w:val="22"/>
            <w:lang w:val="en-GB"/>
          </w:rPr>
          <w:t>e.dollet@fooddrinkeurope.eu</w:t>
        </w:r>
      </w:hyperlink>
      <w:r>
        <w:rPr>
          <w:rFonts w:cs="Arial"/>
          <w:szCs w:val="22"/>
          <w:lang w:val="en-GB"/>
        </w:rPr>
        <w:t>) in order to refine this monitoring exercise or to make it more accessible to members. Any request for extension of the products covered should be accompanied by a reference to easily available data. If you have questions about the sources or suggestions on other (better) sources, please do not hesitate to contact us.</w:t>
      </w:r>
    </w:p>
    <w:p w14:paraId="1D69883A" w14:textId="77777777" w:rsidR="00303541" w:rsidRDefault="00303541" w:rsidP="00303541">
      <w:pPr>
        <w:jc w:val="both"/>
        <w:rPr>
          <w:rFonts w:cs="Arial"/>
          <w:szCs w:val="22"/>
          <w:lang w:val="en-GB"/>
        </w:rPr>
      </w:pPr>
    </w:p>
    <w:p w14:paraId="749BDB9B" w14:textId="77777777" w:rsidR="00303541" w:rsidRDefault="00303541" w:rsidP="00303541">
      <w:pPr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If you would like to use these data for your own publications, please make sure you mention the sources mentioned in the Excel file. </w:t>
      </w:r>
    </w:p>
    <w:p w14:paraId="1A44AE8A" w14:textId="77777777" w:rsidR="00303541" w:rsidRDefault="00303541" w:rsidP="00303541">
      <w:pPr>
        <w:jc w:val="both"/>
        <w:rPr>
          <w:rFonts w:cs="Arial"/>
          <w:szCs w:val="22"/>
          <w:lang w:val="en-GB"/>
        </w:rPr>
      </w:pPr>
    </w:p>
    <w:p w14:paraId="57E8A6E5" w14:textId="77777777" w:rsidR="00303541" w:rsidRDefault="00303541" w:rsidP="00303541">
      <w:pPr>
        <w:spacing w:after="120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Best regards,</w:t>
      </w:r>
    </w:p>
    <w:p w14:paraId="135772F7" w14:textId="77777777" w:rsidR="00303541" w:rsidRDefault="00303541" w:rsidP="00303541">
      <w:pPr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Evelyne Dollet</w:t>
      </w:r>
    </w:p>
    <w:p w14:paraId="1CE2240E" w14:textId="77777777" w:rsidR="00303541" w:rsidRDefault="00303541" w:rsidP="00303541">
      <w:pPr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Donata Nickel</w:t>
      </w:r>
    </w:p>
    <w:p w14:paraId="790164A0" w14:textId="77777777" w:rsidR="00E7365A" w:rsidRPr="00303541" w:rsidRDefault="00E7365A" w:rsidP="00303541">
      <w:pPr>
        <w:rPr>
          <w:lang w:val="en-US"/>
        </w:rPr>
      </w:pPr>
    </w:p>
    <w:sectPr w:rsidR="00E7365A" w:rsidRPr="00303541" w:rsidSect="006434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FD914" w14:textId="77777777" w:rsidR="000B2798" w:rsidRDefault="000B2798" w:rsidP="009B02AB">
      <w:r>
        <w:separator/>
      </w:r>
    </w:p>
  </w:endnote>
  <w:endnote w:type="continuationSeparator" w:id="0">
    <w:p w14:paraId="23D73AF8" w14:textId="77777777" w:rsidR="000B2798" w:rsidRDefault="000B2798" w:rsidP="009B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9DDC" w14:textId="77777777" w:rsidR="006434DC" w:rsidRDefault="006434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1516" w14:textId="77777777" w:rsidR="006434DC" w:rsidRDefault="006434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84CB" w14:textId="77777777" w:rsidR="006434DC" w:rsidRPr="003D3B2E" w:rsidRDefault="006434DC" w:rsidP="006434DC">
    <w:pPr>
      <w:pStyle w:val="Footer"/>
      <w:rPr>
        <w:rFonts w:cs="Arial"/>
        <w:color w:val="333399"/>
        <w:sz w:val="18"/>
        <w:lang w:val="en-GB"/>
      </w:rPr>
    </w:pPr>
    <w:r w:rsidRPr="006434DC">
      <w:rPr>
        <w:rFonts w:cs="Arial"/>
        <w:color w:val="333399"/>
        <w:sz w:val="18"/>
      </w:rPr>
      <w:t xml:space="preserve">Avenue des Nerviens 9-31 - 1040 Brussels - BELGIUM - Tel. </w:t>
    </w:r>
    <w:r w:rsidRPr="003D3B2E">
      <w:rPr>
        <w:rFonts w:cs="Arial"/>
        <w:color w:val="333399"/>
        <w:sz w:val="18"/>
        <w:lang w:val="en-GB"/>
      </w:rPr>
      <w:t xml:space="preserve">+32 2 514 11 11 </w:t>
    </w:r>
  </w:p>
  <w:p w14:paraId="079C5445" w14:textId="77777777" w:rsidR="006434DC" w:rsidRPr="003D3B2E" w:rsidRDefault="006434DC" w:rsidP="006434DC">
    <w:pPr>
      <w:pStyle w:val="Footer"/>
      <w:rPr>
        <w:rFonts w:cs="Arial"/>
        <w:color w:val="333399"/>
        <w:sz w:val="18"/>
        <w:lang w:val="en-GB"/>
      </w:rPr>
    </w:pPr>
    <w:r w:rsidRPr="003D3B2E">
      <w:rPr>
        <w:rFonts w:cs="Arial"/>
        <w:color w:val="333399"/>
        <w:sz w:val="18"/>
        <w:lang w:val="en-GB"/>
      </w:rPr>
      <w:t>info@fooddrinkeurope.eu - www.fooddrinkeurope.eu - ETI Register 75818824519-45</w:t>
    </w:r>
  </w:p>
  <w:p w14:paraId="5512F8EF" w14:textId="1359803C" w:rsidR="009B02AB" w:rsidRPr="003D3B2E" w:rsidRDefault="006434DC" w:rsidP="006434DC">
    <w:pPr>
      <w:pStyle w:val="Footer"/>
      <w:rPr>
        <w:rFonts w:cs="Arial"/>
        <w:color w:val="333399"/>
        <w:sz w:val="18"/>
        <w:lang w:val="en-GB"/>
      </w:rPr>
    </w:pPr>
    <w:r w:rsidRPr="003D3B2E">
      <w:rPr>
        <w:rFonts w:cs="Arial"/>
        <w:color w:val="333399"/>
        <w:sz w:val="18"/>
        <w:lang w:val="en-GB"/>
      </w:rPr>
      <w:t>Copyright FoodDrinkEurope aisbl; photocopying or electronic copying is illegal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3534" w14:textId="77777777" w:rsidR="000B2798" w:rsidRDefault="000B2798" w:rsidP="009B02AB">
      <w:r>
        <w:separator/>
      </w:r>
    </w:p>
  </w:footnote>
  <w:footnote w:type="continuationSeparator" w:id="0">
    <w:p w14:paraId="4A061600" w14:textId="77777777" w:rsidR="000B2798" w:rsidRDefault="000B2798" w:rsidP="009B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7CA2" w14:textId="77777777" w:rsidR="006434DC" w:rsidRDefault="006434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FFF1" w14:textId="77777777" w:rsidR="006434DC" w:rsidRDefault="006434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6"/>
      <w:gridCol w:w="2376"/>
    </w:tblGrid>
    <w:tr w:rsidR="006434DC" w:rsidRPr="006434DC" w14:paraId="482DB165" w14:textId="77777777" w:rsidTr="006434DC">
      <w:tc>
        <w:tcPr>
          <w:tcW w:w="4644" w:type="dxa"/>
          <w:shd w:val="clear" w:color="auto" w:fill="auto"/>
        </w:tcPr>
        <w:p w14:paraId="3BEA91CA" w14:textId="24420270" w:rsidR="006434DC" w:rsidRPr="006434DC" w:rsidRDefault="003D3B2E" w:rsidP="006434DC">
          <w:pPr>
            <w:pStyle w:val="Header"/>
            <w:jc w:val="right"/>
            <w:rPr>
              <w:rFonts w:cs="Arial"/>
              <w:sz w:val="18"/>
            </w:rPr>
          </w:pPr>
          <w:r>
            <w:rPr>
              <w:rFonts w:cs="Arial"/>
              <w:noProof/>
              <w:sz w:val="18"/>
            </w:rPr>
            <w:drawing>
              <wp:inline distT="0" distB="0" distL="0" distR="0" wp14:anchorId="1354ABAA" wp14:editId="7F34B649">
                <wp:extent cx="4114800" cy="1689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4800" cy="168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  <w:shd w:val="clear" w:color="auto" w:fill="auto"/>
        </w:tcPr>
        <w:p w14:paraId="6B3DFEB8" w14:textId="77777777" w:rsidR="006434DC" w:rsidRPr="006434DC" w:rsidRDefault="006434DC" w:rsidP="006434DC">
          <w:pPr>
            <w:pStyle w:val="Header"/>
            <w:jc w:val="right"/>
            <w:rPr>
              <w:rFonts w:cs="Arial"/>
              <w:sz w:val="18"/>
            </w:rPr>
          </w:pPr>
        </w:p>
        <w:p w14:paraId="77C7FF00" w14:textId="77777777" w:rsidR="006434DC" w:rsidRPr="006434DC" w:rsidRDefault="006434DC" w:rsidP="006434DC">
          <w:pPr>
            <w:pStyle w:val="Header"/>
            <w:jc w:val="right"/>
            <w:rPr>
              <w:rFonts w:cs="Arial"/>
              <w:sz w:val="18"/>
            </w:rPr>
          </w:pPr>
        </w:p>
        <w:p w14:paraId="30E7D045" w14:textId="4E8EA53A" w:rsidR="006434DC" w:rsidRPr="006434DC" w:rsidRDefault="006434DC" w:rsidP="006434DC">
          <w:pPr>
            <w:pStyle w:val="Header"/>
            <w:jc w:val="right"/>
            <w:rPr>
              <w:rFonts w:cs="Arial"/>
              <w:sz w:val="18"/>
            </w:rPr>
          </w:pPr>
          <w:r w:rsidRPr="006434DC">
            <w:rPr>
              <w:rFonts w:cs="Arial"/>
              <w:sz w:val="18"/>
            </w:rPr>
            <w:t>COMP/AGPO/087/21E</w:t>
          </w:r>
        </w:p>
      </w:tc>
    </w:tr>
  </w:tbl>
  <w:p w14:paraId="6541D523" w14:textId="77777777" w:rsidR="009B02AB" w:rsidRPr="006434DC" w:rsidRDefault="009B02AB" w:rsidP="006434DC">
    <w:pPr>
      <w:pStyle w:val="Header"/>
      <w:jc w:val="right"/>
      <w:rPr>
        <w:rFonts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23A"/>
    <w:multiLevelType w:val="hybridMultilevel"/>
    <w:tmpl w:val="2F88FA32"/>
    <w:lvl w:ilvl="0" w:tplc="36C8266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F158C"/>
    <w:multiLevelType w:val="hybridMultilevel"/>
    <w:tmpl w:val="91943EBA"/>
    <w:lvl w:ilvl="0" w:tplc="65CA85BA"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25"/>
    <w:rsid w:val="000153E2"/>
    <w:rsid w:val="000369E6"/>
    <w:rsid w:val="00070D7C"/>
    <w:rsid w:val="000921F7"/>
    <w:rsid w:val="000B2798"/>
    <w:rsid w:val="000F7E2B"/>
    <w:rsid w:val="00120950"/>
    <w:rsid w:val="001240EB"/>
    <w:rsid w:val="00146FAA"/>
    <w:rsid w:val="00185C91"/>
    <w:rsid w:val="001C43D0"/>
    <w:rsid w:val="001E5D25"/>
    <w:rsid w:val="001E72EC"/>
    <w:rsid w:val="001F188D"/>
    <w:rsid w:val="00242582"/>
    <w:rsid w:val="00242C81"/>
    <w:rsid w:val="0025410E"/>
    <w:rsid w:val="00270201"/>
    <w:rsid w:val="00286747"/>
    <w:rsid w:val="002875D5"/>
    <w:rsid w:val="002F24D9"/>
    <w:rsid w:val="002F3673"/>
    <w:rsid w:val="00303541"/>
    <w:rsid w:val="0033166C"/>
    <w:rsid w:val="00393E95"/>
    <w:rsid w:val="003A3C33"/>
    <w:rsid w:val="003B4808"/>
    <w:rsid w:val="003C3EA1"/>
    <w:rsid w:val="003D3B2E"/>
    <w:rsid w:val="00413E8D"/>
    <w:rsid w:val="004D29E9"/>
    <w:rsid w:val="004F1B6E"/>
    <w:rsid w:val="00502EF0"/>
    <w:rsid w:val="00524ED6"/>
    <w:rsid w:val="00534D89"/>
    <w:rsid w:val="005623A2"/>
    <w:rsid w:val="00582239"/>
    <w:rsid w:val="005A2FB7"/>
    <w:rsid w:val="005E24FD"/>
    <w:rsid w:val="005E2C6B"/>
    <w:rsid w:val="005E70D4"/>
    <w:rsid w:val="006434DC"/>
    <w:rsid w:val="006C2D8B"/>
    <w:rsid w:val="006C3B52"/>
    <w:rsid w:val="007715AE"/>
    <w:rsid w:val="00786751"/>
    <w:rsid w:val="0079175C"/>
    <w:rsid w:val="007A1745"/>
    <w:rsid w:val="007A2C73"/>
    <w:rsid w:val="007A42D6"/>
    <w:rsid w:val="007D0E6C"/>
    <w:rsid w:val="00813279"/>
    <w:rsid w:val="00826C08"/>
    <w:rsid w:val="00832575"/>
    <w:rsid w:val="008473A6"/>
    <w:rsid w:val="008731AA"/>
    <w:rsid w:val="00874AFB"/>
    <w:rsid w:val="008B2250"/>
    <w:rsid w:val="009601BF"/>
    <w:rsid w:val="009A0A8D"/>
    <w:rsid w:val="009B02AB"/>
    <w:rsid w:val="009B6E5B"/>
    <w:rsid w:val="009C111C"/>
    <w:rsid w:val="009F29BB"/>
    <w:rsid w:val="00A16002"/>
    <w:rsid w:val="00AA4AAE"/>
    <w:rsid w:val="00AD6A5D"/>
    <w:rsid w:val="00AD7955"/>
    <w:rsid w:val="00AF1F2F"/>
    <w:rsid w:val="00B2425E"/>
    <w:rsid w:val="00B772D4"/>
    <w:rsid w:val="00B86C53"/>
    <w:rsid w:val="00BB6150"/>
    <w:rsid w:val="00BF1FD6"/>
    <w:rsid w:val="00BF1FE9"/>
    <w:rsid w:val="00C838C8"/>
    <w:rsid w:val="00CA01BD"/>
    <w:rsid w:val="00CB4D3B"/>
    <w:rsid w:val="00CD2C53"/>
    <w:rsid w:val="00CE54EF"/>
    <w:rsid w:val="00D44CD9"/>
    <w:rsid w:val="00D623CF"/>
    <w:rsid w:val="00D629D7"/>
    <w:rsid w:val="00D63432"/>
    <w:rsid w:val="00D64EB9"/>
    <w:rsid w:val="00D92445"/>
    <w:rsid w:val="00DF6ED1"/>
    <w:rsid w:val="00E06F16"/>
    <w:rsid w:val="00E201D4"/>
    <w:rsid w:val="00E27478"/>
    <w:rsid w:val="00E355A4"/>
    <w:rsid w:val="00E7365A"/>
    <w:rsid w:val="00E87F7B"/>
    <w:rsid w:val="00EC2C25"/>
    <w:rsid w:val="00EC5ADF"/>
    <w:rsid w:val="00F2169D"/>
    <w:rsid w:val="00F24790"/>
    <w:rsid w:val="00F33904"/>
    <w:rsid w:val="00F53207"/>
    <w:rsid w:val="00F8271F"/>
    <w:rsid w:val="00F86715"/>
    <w:rsid w:val="00F90432"/>
    <w:rsid w:val="00FA7A95"/>
    <w:rsid w:val="00FB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,"/>
  <w14:docId w14:val="16DC1165"/>
  <w15:chartTrackingRefBased/>
  <w15:docId w15:val="{39A1FE03-6D38-46B5-BAEE-BC798CE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BE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69D"/>
    <w:rPr>
      <w:sz w:val="22"/>
      <w:lang w:val="fr-BE" w:eastAsia="fr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65A"/>
    <w:pPr>
      <w:keepNext/>
      <w:outlineLvl w:val="0"/>
    </w:pPr>
    <w:rPr>
      <w:rFonts w:eastAsia="Times New Roman"/>
      <w:b/>
      <w:bCs/>
      <w:color w:val="0D1957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65A"/>
    <w:pPr>
      <w:keepNext/>
      <w:numPr>
        <w:numId w:val="1"/>
      </w:numPr>
      <w:ind w:left="360"/>
      <w:outlineLvl w:val="1"/>
    </w:pPr>
    <w:rPr>
      <w:rFonts w:eastAsia="Times New Roman"/>
      <w:b/>
      <w:bCs/>
      <w:iCs/>
      <w:color w:val="005A24"/>
      <w:sz w:val="24"/>
      <w:szCs w:val="28"/>
    </w:rPr>
  </w:style>
  <w:style w:type="paragraph" w:styleId="Heading3">
    <w:name w:val="heading 3"/>
    <w:aliases w:val="Conclusion"/>
    <w:basedOn w:val="Normal"/>
    <w:next w:val="Normal"/>
    <w:link w:val="Heading3Char"/>
    <w:uiPriority w:val="9"/>
    <w:unhideWhenUsed/>
    <w:qFormat/>
    <w:rsid w:val="00E7365A"/>
    <w:pPr>
      <w:keepNext/>
      <w:framePr w:wrap="around" w:vAnchor="text" w:hAnchor="text" w:y="1"/>
      <w:pBdr>
        <w:top w:val="single" w:sz="24" w:space="4" w:color="0D1957"/>
        <w:left w:val="single" w:sz="24" w:space="4" w:color="0D1957"/>
        <w:bottom w:val="single" w:sz="24" w:space="4" w:color="0D1957"/>
        <w:right w:val="single" w:sz="24" w:space="4" w:color="0D1957"/>
      </w:pBdr>
      <w:outlineLvl w:val="2"/>
    </w:pPr>
    <w:rPr>
      <w:rFonts w:eastAsia="Times New Roman"/>
      <w:b/>
      <w:bCs/>
      <w:color w:val="0D1957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7365A"/>
    <w:rPr>
      <w:rFonts w:eastAsia="Times New Roman"/>
      <w:b/>
      <w:bCs/>
      <w:color w:val="0D1957"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E7365A"/>
    <w:rPr>
      <w:rFonts w:eastAsia="Times New Roman"/>
      <w:b/>
      <w:bCs/>
      <w:iCs/>
      <w:color w:val="005A24"/>
      <w:sz w:val="24"/>
      <w:szCs w:val="28"/>
    </w:rPr>
  </w:style>
  <w:style w:type="character" w:customStyle="1" w:styleId="Heading3Char">
    <w:name w:val="Heading 3 Char"/>
    <w:aliases w:val="Conclusion Char"/>
    <w:link w:val="Heading3"/>
    <w:uiPriority w:val="9"/>
    <w:rsid w:val="00E7365A"/>
    <w:rPr>
      <w:rFonts w:eastAsia="Times New Roman"/>
      <w:b/>
      <w:bCs/>
      <w:color w:val="0D1957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rsid w:val="009B02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AB"/>
    <w:rPr>
      <w:sz w:val="22"/>
      <w:lang w:val="fr-BE" w:eastAsia="fr-BE"/>
    </w:rPr>
  </w:style>
  <w:style w:type="paragraph" w:styleId="Footer">
    <w:name w:val="footer"/>
    <w:basedOn w:val="Normal"/>
    <w:link w:val="FooterChar"/>
    <w:uiPriority w:val="99"/>
    <w:unhideWhenUsed/>
    <w:rsid w:val="009B02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02AB"/>
    <w:rPr>
      <w:sz w:val="22"/>
      <w:lang w:val="fr-BE" w:eastAsia="fr-BE"/>
    </w:rPr>
  </w:style>
  <w:style w:type="table" w:styleId="TableGrid">
    <w:name w:val="Table Grid"/>
    <w:basedOn w:val="TableNormal"/>
    <w:uiPriority w:val="59"/>
    <w:rsid w:val="009B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303541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D623CF"/>
    <w:rPr>
      <w:color w:val="954F7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5D25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E5D25"/>
    <w:rPr>
      <w:lang w:val="fr-BE" w:eastAsia="fr-BE"/>
    </w:rPr>
  </w:style>
  <w:style w:type="character" w:styleId="FootnoteReference">
    <w:name w:val="footnote reference"/>
    <w:uiPriority w:val="99"/>
    <w:semiHidden/>
    <w:unhideWhenUsed/>
    <w:rsid w:val="001E5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drinkeurope.eu/wp-content/uploads/2021/10/FoodDrinkEurope-Economic-Bulletin-Q2-2021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.dollet@fooddrinkeurop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nickel@fooddrinkeurope.e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61D7D-B2A3-45BB-828C-051C8E04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DNI</dc:creator>
  <cp:keywords/>
  <cp:lastModifiedBy>Eline Janssens</cp:lastModifiedBy>
  <cp:revision>2</cp:revision>
  <dcterms:created xsi:type="dcterms:W3CDTF">2021-10-28T08:41:00Z</dcterms:created>
  <dcterms:modified xsi:type="dcterms:W3CDTF">2021-10-28T08:41:00Z</dcterms:modified>
</cp:coreProperties>
</file>