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508CC8" w:themeColor="accent1"/>
          <w:left w:val="single" w:sz="4" w:space="0" w:color="508CC8" w:themeColor="accent1"/>
          <w:bottom w:val="single" w:sz="4" w:space="0" w:color="508CC8" w:themeColor="accent1"/>
          <w:right w:val="single" w:sz="4" w:space="0" w:color="508CC8" w:themeColor="accent1"/>
          <w:insideH w:val="single" w:sz="4" w:space="0" w:color="508CC8" w:themeColor="accent1"/>
          <w:insideV w:val="single" w:sz="4" w:space="0" w:color="508CC8" w:themeColor="accent1"/>
        </w:tblBorders>
        <w:shd w:val="clear" w:color="auto" w:fill="508CC8" w:themeFill="accent1"/>
        <w:tblCellMar>
          <w:top w:w="284" w:type="dxa"/>
          <w:left w:w="284" w:type="dxa"/>
          <w:bottom w:w="284" w:type="dxa"/>
          <w:right w:w="284" w:type="dxa"/>
        </w:tblCellMar>
        <w:tblLook w:val="04A0" w:firstRow="1" w:lastRow="0" w:firstColumn="1" w:lastColumn="0" w:noHBand="0" w:noVBand="1"/>
      </w:tblPr>
      <w:tblGrid>
        <w:gridCol w:w="5524"/>
        <w:gridCol w:w="4104"/>
      </w:tblGrid>
      <w:tr w:rsidR="006D530A" w:rsidRPr="00E761EB" w14:paraId="7DA7D8AF" w14:textId="77777777" w:rsidTr="0024248A">
        <w:tc>
          <w:tcPr>
            <w:tcW w:w="5524" w:type="dxa"/>
            <w:shd w:val="clear" w:color="auto" w:fill="508CC8" w:themeFill="accent1"/>
          </w:tcPr>
          <w:sdt>
            <w:sdtPr>
              <w:rPr>
                <w:rStyle w:val="SubtitleChar"/>
              </w:rPr>
              <w:alias w:val="Type de document"/>
              <w:tag w:val="Doctype"/>
              <w:id w:val="-1555313760"/>
              <w:placeholder>
                <w:docPart w:val="DefaultPlaceholder_-1854013438"/>
              </w:placeholder>
              <w:dropDownList>
                <w:listItem w:value="Choose an item."/>
                <w:listItem w:displayText="Briefing" w:value="Briefing"/>
                <w:listItem w:displayText="Circulaire" w:value="Circulaire"/>
                <w:listItem w:displayText="Note de séance" w:value="Note de séance"/>
                <w:listItem w:displayText="Note externe" w:value="Note externe"/>
                <w:listItem w:displayText="Position paper" w:value="Position paper"/>
              </w:dropDownList>
            </w:sdtPr>
            <w:sdtContent>
              <w:p w14:paraId="688099C2" w14:textId="3E37C308" w:rsidR="00647CAF" w:rsidRPr="006F6975" w:rsidRDefault="00E65DFF" w:rsidP="00154682">
                <w:pPr>
                  <w:pStyle w:val="Title"/>
                  <w:rPr>
                    <w:rStyle w:val="SubtitleChar"/>
                  </w:rPr>
                </w:pPr>
                <w:r>
                  <w:rPr>
                    <w:rStyle w:val="SubtitleChar"/>
                  </w:rPr>
                  <w:t>Circulaire</w:t>
                </w:r>
              </w:p>
            </w:sdtContent>
          </w:sdt>
          <w:p w14:paraId="6924EC09" w14:textId="4E22D468" w:rsidR="006D530A" w:rsidRPr="00E65DFF" w:rsidRDefault="00000000" w:rsidP="00154682">
            <w:pPr>
              <w:pStyle w:val="Title"/>
              <w:rPr>
                <w:rStyle w:val="TitleChar"/>
                <w:b/>
                <w:bCs/>
                <w:sz w:val="36"/>
                <w:szCs w:val="40"/>
              </w:rPr>
            </w:pPr>
            <w:sdt>
              <w:sdtPr>
                <w:rPr>
                  <w:b w:val="0"/>
                  <w:bCs w:val="0"/>
                </w:rPr>
                <w:alias w:val="Title"/>
                <w:tag w:val="Title"/>
                <w:id w:val="-546140724"/>
                <w:placeholder>
                  <w:docPart w:val="CD1728A813F44F178BA3A23C21C950D5"/>
                </w:placeholder>
              </w:sdtPr>
              <w:sdtEndPr>
                <w:rPr>
                  <w:rStyle w:val="TitleChar"/>
                  <w:sz w:val="36"/>
                  <w:szCs w:val="40"/>
                </w:rPr>
              </w:sdtEndPr>
              <w:sdtContent>
                <w:r w:rsidR="00E65DFF" w:rsidRPr="00E65DFF">
                  <w:rPr>
                    <w:rStyle w:val="TitleChar"/>
                    <w:b/>
                    <w:bCs/>
                    <w:sz w:val="36"/>
                    <w:szCs w:val="40"/>
                  </w:rPr>
                  <w:t>C</w:t>
                </w:r>
                <w:r w:rsidR="00E65DFF" w:rsidRPr="00E65DFF">
                  <w:rPr>
                    <w:rStyle w:val="TitleChar"/>
                    <w:sz w:val="36"/>
                    <w:szCs w:val="40"/>
                  </w:rPr>
                  <w:t xml:space="preserve">CT n°161 </w:t>
                </w:r>
                <w:r w:rsidR="00E65DFF" w:rsidRPr="00E65DFF">
                  <w:rPr>
                    <w:sz w:val="36"/>
                    <w:szCs w:val="40"/>
                  </w:rPr>
                  <w:t>concernant le droit de demander une forme d’emploi comportant des conditions de travail plus prévisibles et plus sûres</w:t>
                </w:r>
              </w:sdtContent>
            </w:sdt>
          </w:p>
          <w:p w14:paraId="5DF05B9B" w14:textId="40C45130" w:rsidR="00BB75D1" w:rsidRDefault="00BB75D1" w:rsidP="00F25A13">
            <w:pPr>
              <w:spacing w:after="0" w:line="259" w:lineRule="auto"/>
              <w:rPr>
                <w:b/>
                <w:bCs/>
                <w:color w:val="FFFFFF" w:themeColor="background1"/>
                <w:lang w:val="fr-BE"/>
              </w:rPr>
            </w:pPr>
          </w:p>
          <w:p w14:paraId="466B62FF" w14:textId="6CBAA28D" w:rsidR="000C19ED" w:rsidRPr="00B346FF" w:rsidRDefault="000C19ED" w:rsidP="00F25A13">
            <w:pPr>
              <w:spacing w:after="0" w:line="259" w:lineRule="auto"/>
              <w:rPr>
                <w:b/>
                <w:bCs/>
                <w:color w:val="FFFFFF" w:themeColor="background1"/>
                <w:lang w:val="fr-BE"/>
              </w:rPr>
            </w:pPr>
            <w:r>
              <w:rPr>
                <w:b/>
                <w:bCs/>
                <w:color w:val="FFFFFF" w:themeColor="background1"/>
                <w:lang w:val="fr-BE"/>
              </w:rPr>
              <w:t>Notre référence </w:t>
            </w:r>
            <w:r w:rsidRPr="007E6BDF">
              <w:rPr>
                <w:b/>
                <w:bCs/>
                <w:color w:val="FFFFFF" w:themeColor="background1"/>
                <w:lang w:val="fr-BE"/>
              </w:rPr>
              <w:t xml:space="preserve">/ </w:t>
            </w:r>
            <w:sdt>
              <w:sdtPr>
                <w:rPr>
                  <w:b/>
                  <w:bCs/>
                  <w:color w:val="FFFFFF" w:themeColor="background1"/>
                  <w:lang w:val="fr-BE"/>
                </w:rPr>
                <w:alias w:val="Référence"/>
                <w:tag w:val="VBOReference"/>
                <w:id w:val="-1762515781"/>
                <w:placeholder>
                  <w:docPart w:val="F15DEFEB815B4D11B8A6029368C5FA8C"/>
                </w:placeholder>
                <w:dataBinding w:prefixMappings="xmlns:ns0='http://schemas.microsoft.com/office/2006/metadata/properties' xmlns:ns1='http://www.w3.org/2001/XMLSchema-instance' xmlns:ns2='http://schemas.microsoft.com/office/infopath/2007/PartnerControls' xmlns:ns3='1777d42b-4e4c-4554-883b-33c5c03ad9c3' " w:xpath="/ns0:properties[1]/documentManagement[1]/ns3:VBOReference[1]" w:storeItemID="{1567F8B0-EDB0-4739-A947-3BE31AC77D2C}"/>
                <w:text/>
              </w:sdtPr>
              <w:sdtContent>
                <w:r w:rsidR="00D53B8E">
                  <w:rPr>
                    <w:b/>
                    <w:bCs/>
                    <w:color w:val="FFFFFF" w:themeColor="background1"/>
                    <w:lang w:val="fr-BE"/>
                  </w:rPr>
                  <w:t>2022/022</w:t>
                </w:r>
              </w:sdtContent>
            </w:sdt>
          </w:p>
          <w:p w14:paraId="56295746" w14:textId="0BA68C47" w:rsidR="00957148" w:rsidRPr="00B346FF" w:rsidRDefault="00121A50" w:rsidP="00F25A13">
            <w:pPr>
              <w:spacing w:after="0" w:line="259" w:lineRule="auto"/>
              <w:rPr>
                <w:color w:val="FFFFFF" w:themeColor="background1"/>
                <w:lang w:val="fr-BE"/>
              </w:rPr>
            </w:pPr>
            <w:r w:rsidRPr="00FC51D6">
              <w:rPr>
                <w:b/>
                <w:bCs/>
                <w:color w:val="FFFFFF" w:themeColor="background1"/>
                <w:lang w:val="fr-BE"/>
              </w:rPr>
              <w:t xml:space="preserve">Date de </w:t>
            </w:r>
            <w:r w:rsidRPr="0007423D">
              <w:rPr>
                <w:b/>
                <w:bCs/>
                <w:color w:val="FFFFFF" w:themeColor="background1"/>
                <w:lang w:val="fr-BE"/>
              </w:rPr>
              <w:t>publication</w:t>
            </w:r>
            <w:r w:rsidRPr="0007423D">
              <w:rPr>
                <w:color w:val="FFFFFF" w:themeColor="background1"/>
                <w:lang w:val="fr-BE"/>
              </w:rPr>
              <w:t xml:space="preserve"> </w:t>
            </w:r>
            <w:r w:rsidR="00FC51D6" w:rsidRPr="0007423D">
              <w:rPr>
                <w:b/>
                <w:bCs/>
                <w:color w:val="FFFFFF" w:themeColor="background1"/>
                <w:lang w:val="fr-BE"/>
              </w:rPr>
              <w:t>/</w:t>
            </w:r>
            <w:r w:rsidR="00FC51D6" w:rsidRPr="0007423D">
              <w:rPr>
                <w:color w:val="FFFFFF" w:themeColor="background1"/>
                <w:lang w:val="fr-BE"/>
              </w:rPr>
              <w:t xml:space="preserve"> </w:t>
            </w:r>
            <w:sdt>
              <w:sdtPr>
                <w:rPr>
                  <w:color w:val="FFFFFF" w:themeColor="background1"/>
                  <w:lang w:val="fr-BE"/>
                </w:rPr>
                <w:alias w:val="Date de publication"/>
                <w:tag w:val="Date de publication"/>
                <w:id w:val="927162032"/>
                <w:placeholder>
                  <w:docPart w:val="3816A0444E5F488F8A1348674B93423C"/>
                </w:placeholder>
                <w:dataBinding w:prefixMappings="xmlns:ns0='http://schemas.microsoft.com/office/2006/coverPageProps' " w:xpath="/ns0:CoverPageProperties[1]/ns0:PublishDate[1]" w:storeItemID="{55AF091B-3C7A-41E3-B477-F2FDAA23CFDA}"/>
                <w:date w:fullDate="2022-10-06T00:00:00Z">
                  <w:dateFormat w:val="d MMMM yyyy"/>
                  <w:lid w:val="fr-BE"/>
                  <w:storeMappedDataAs w:val="dateTime"/>
                  <w:calendar w:val="gregorian"/>
                </w:date>
              </w:sdtPr>
              <w:sdtContent>
                <w:r w:rsidR="00D53B8E">
                  <w:rPr>
                    <w:color w:val="FFFFFF" w:themeColor="background1"/>
                    <w:lang w:val="fr-BE"/>
                  </w:rPr>
                  <w:t>6 octobre 2022</w:t>
                </w:r>
              </w:sdtContent>
            </w:sdt>
          </w:p>
        </w:tc>
        <w:tc>
          <w:tcPr>
            <w:tcW w:w="4104" w:type="dxa"/>
            <w:shd w:val="clear" w:color="auto" w:fill="508CC8" w:themeFill="accent1"/>
          </w:tcPr>
          <w:p w14:paraId="1372F2EE" w14:textId="4BBFFF82" w:rsidR="00DD46BC" w:rsidRPr="0007423D" w:rsidRDefault="00000000" w:rsidP="003E2147">
            <w:pPr>
              <w:spacing w:after="0" w:line="259" w:lineRule="auto"/>
              <w:jc w:val="right"/>
              <w:rPr>
                <w:color w:val="FFFFFF" w:themeColor="background1"/>
                <w:lang w:val="fr-BE"/>
              </w:rPr>
            </w:pPr>
            <w:sdt>
              <w:sdtPr>
                <w:rPr>
                  <w:color w:val="FFFFFF" w:themeColor="background1"/>
                  <w:lang w:val="fr-BE"/>
                </w:rPr>
                <w:alias w:val="Prenom"/>
                <w:tag w:val="EMPL_Firstname"/>
                <w:id w:val="5794298"/>
                <w:placeholder>
                  <w:docPart w:val="4693CF15CCC44D9C9D13287F2F4B8590"/>
                </w:placeholder>
                <w:text/>
              </w:sdtPr>
              <w:sdtContent>
                <w:r w:rsidR="00E761EB">
                  <w:rPr>
                    <w:color w:val="FFFFFF" w:themeColor="background1"/>
                    <w:lang w:val="fr-BE"/>
                  </w:rPr>
                  <w:t>Annick</w:t>
                </w:r>
              </w:sdtContent>
            </w:sdt>
            <w:r w:rsidR="00DD46BC" w:rsidRPr="0007423D">
              <w:rPr>
                <w:color w:val="FFFFFF" w:themeColor="background1"/>
                <w:lang w:val="fr-BE"/>
              </w:rPr>
              <w:t xml:space="preserve"> </w:t>
            </w:r>
            <w:sdt>
              <w:sdtPr>
                <w:rPr>
                  <w:color w:val="FFFFFF" w:themeColor="background1"/>
                  <w:lang w:val="fr-BE"/>
                </w:rPr>
                <w:tag w:val="EMPL_Lastname"/>
                <w:id w:val="-241720315"/>
                <w:placeholder>
                  <w:docPart w:val="BFE3483474404BE5A6AF9DEE39A09DF6"/>
                </w:placeholder>
                <w:text/>
              </w:sdtPr>
              <w:sdtContent>
                <w:r w:rsidR="00E761EB" w:rsidRPr="00E761EB">
                  <w:rPr>
                    <w:color w:val="FFFFFF" w:themeColor="background1"/>
                    <w:lang w:val="fr-BE"/>
                  </w:rPr>
                  <w:t>Hellebuyck</w:t>
                </w:r>
              </w:sdtContent>
            </w:sdt>
            <w:r w:rsidR="00DD46BC" w:rsidRPr="0007423D">
              <w:rPr>
                <w:color w:val="FFFFFF" w:themeColor="background1"/>
                <w:lang w:val="fr-BE"/>
              </w:rPr>
              <w:t xml:space="preserve"> </w:t>
            </w:r>
          </w:p>
          <w:p w14:paraId="7E183C57" w14:textId="287BBFC5" w:rsidR="00DF1AC5" w:rsidRPr="0007423D" w:rsidRDefault="00000000" w:rsidP="003E2147">
            <w:pPr>
              <w:spacing w:after="0" w:line="259" w:lineRule="auto"/>
              <w:jc w:val="right"/>
              <w:rPr>
                <w:color w:val="FFFFFF" w:themeColor="background1"/>
                <w:lang w:val="fr-BE"/>
              </w:rPr>
            </w:pPr>
            <w:sdt>
              <w:sdtPr>
                <w:rPr>
                  <w:color w:val="FFFFFF" w:themeColor="background1"/>
                  <w:lang w:val="fr-BE"/>
                </w:rPr>
                <w:tag w:val="EMPL_Title_French"/>
                <w:id w:val="1206990046"/>
                <w:placeholder>
                  <w:docPart w:val="490AB39AB04A48A39BDA8BE8DA34931C"/>
                </w:placeholder>
                <w:text/>
              </w:sdtPr>
              <w:sdtContent>
                <w:r w:rsidR="00E761EB" w:rsidRPr="00E761EB">
                  <w:rPr>
                    <w:color w:val="FFFFFF" w:themeColor="background1"/>
                    <w:lang w:val="fr-BE"/>
                  </w:rPr>
                  <w:t>Premier conseiller</w:t>
                </w:r>
              </w:sdtContent>
            </w:sdt>
          </w:p>
          <w:p w14:paraId="52D3945B" w14:textId="2AF55AFC" w:rsidR="00957148" w:rsidRDefault="00957148" w:rsidP="003E2147">
            <w:pPr>
              <w:spacing w:after="0" w:line="259" w:lineRule="auto"/>
              <w:jc w:val="right"/>
              <w:rPr>
                <w:color w:val="FFFFFF" w:themeColor="background1"/>
                <w:lang w:val="fr-BE"/>
              </w:rPr>
            </w:pPr>
          </w:p>
          <w:p w14:paraId="21B0438D" w14:textId="20FE63A5" w:rsidR="003E2147" w:rsidRPr="003E2147" w:rsidRDefault="003E2147" w:rsidP="003E2147">
            <w:pPr>
              <w:spacing w:after="0" w:line="259" w:lineRule="auto"/>
              <w:jc w:val="right"/>
              <w:rPr>
                <w:b/>
                <w:bCs/>
                <w:color w:val="FFFFFF" w:themeColor="background1"/>
                <w:lang w:val="fr-BE"/>
              </w:rPr>
            </w:pPr>
            <w:r w:rsidRPr="003E2147">
              <w:rPr>
                <w:b/>
                <w:bCs/>
                <w:color w:val="FFFFFF" w:themeColor="background1"/>
                <w:lang w:val="fr-BE"/>
              </w:rPr>
              <w:t>Centre de compétence</w:t>
            </w:r>
          </w:p>
          <w:p w14:paraId="19EF3A28" w14:textId="68C70CF6" w:rsidR="00957148" w:rsidRPr="00957148" w:rsidRDefault="00000000" w:rsidP="003E2147">
            <w:pPr>
              <w:spacing w:after="0" w:line="259" w:lineRule="auto"/>
              <w:jc w:val="right"/>
              <w:rPr>
                <w:b/>
                <w:color w:val="FFFFFF" w:themeColor="background1"/>
                <w:lang w:val="fr-BE"/>
              </w:rPr>
            </w:pPr>
            <w:sdt>
              <w:sdtPr>
                <w:rPr>
                  <w:b/>
                  <w:color w:val="FFFFFF" w:themeColor="background1"/>
                  <w:lang w:val="nl-NL"/>
                </w:rPr>
                <w:tag w:val="EMPL_Departement_French"/>
                <w:id w:val="10683574"/>
              </w:sdtPr>
              <w:sdtContent>
                <w:r w:rsidR="00E761EB">
                  <w:rPr>
                    <w:b/>
                    <w:color w:val="FFFFFF" w:themeColor="background1"/>
                    <w:lang w:val="fr-BE"/>
                  </w:rPr>
                  <w:t>Emploi &amp; sécurité sociale</w:t>
                </w:r>
              </w:sdtContent>
            </w:sdt>
          </w:p>
          <w:p w14:paraId="0996D4DF" w14:textId="0C9A6597" w:rsidR="00957148" w:rsidRPr="00957148" w:rsidRDefault="00957148" w:rsidP="003E2147">
            <w:pPr>
              <w:spacing w:after="0" w:line="259" w:lineRule="auto"/>
              <w:jc w:val="right"/>
              <w:rPr>
                <w:color w:val="FFFFFF" w:themeColor="background1"/>
                <w:lang w:val="fr-BE"/>
              </w:rPr>
            </w:pPr>
            <w:r w:rsidRPr="00957148">
              <w:rPr>
                <w:color w:val="FFFFFF" w:themeColor="background1"/>
                <w:lang w:val="fr-BE"/>
              </w:rPr>
              <w:t xml:space="preserve">T </w:t>
            </w:r>
            <w:sdt>
              <w:sdtPr>
                <w:rPr>
                  <w:color w:val="FFFFFF" w:themeColor="background1"/>
                  <w:lang w:val="nl-NL"/>
                </w:rPr>
                <w:tag w:val="EMPL_Extra1"/>
                <w:id w:val="10683575"/>
              </w:sdtPr>
              <w:sdtContent>
                <w:r w:rsidR="00E761EB">
                  <w:rPr>
                    <w:color w:val="FFFFFF" w:themeColor="background1"/>
                    <w:lang w:val="fr-BE"/>
                  </w:rPr>
                  <w:t>+32 2 515 08 58</w:t>
                </w:r>
              </w:sdtContent>
            </w:sdt>
          </w:p>
          <w:p w14:paraId="0B05EED3" w14:textId="710F0C9C" w:rsidR="00957148" w:rsidRPr="0035137C" w:rsidRDefault="00000000" w:rsidP="003E2147">
            <w:pPr>
              <w:spacing w:after="0" w:line="259" w:lineRule="auto"/>
              <w:jc w:val="right"/>
              <w:rPr>
                <w:color w:val="FFFFFF" w:themeColor="background1"/>
                <w:lang w:val="fr-BE"/>
              </w:rPr>
            </w:pPr>
            <w:sdt>
              <w:sdtPr>
                <w:rPr>
                  <w:color w:val="FFFFFF" w:themeColor="background1"/>
                  <w:lang w:val="fr-BE"/>
                </w:rPr>
                <w:tag w:val="EMPL_Extra2"/>
                <w:id w:val="10683577"/>
              </w:sdtPr>
              <w:sdtContent>
                <w:r w:rsidR="00E761EB">
                  <w:rPr>
                    <w:color w:val="FFFFFF" w:themeColor="background1"/>
                    <w:lang w:val="fr-BE"/>
                  </w:rPr>
                  <w:t>ah@vbo-feb.be</w:t>
                </w:r>
              </w:sdtContent>
            </w:sdt>
          </w:p>
        </w:tc>
      </w:tr>
    </w:tbl>
    <w:p w14:paraId="48EA0773" w14:textId="777587CB" w:rsidR="00A3754B" w:rsidRPr="0035137C" w:rsidRDefault="00A3754B" w:rsidP="00BC55A7">
      <w:pPr>
        <w:rPr>
          <w:lang w:val="fr-BE"/>
        </w:rPr>
      </w:pPr>
    </w:p>
    <w:p w14:paraId="72E76DA8" w14:textId="2B45DCCE" w:rsidR="00CF74DF" w:rsidRPr="00E761EB" w:rsidRDefault="00304667" w:rsidP="00CF74DF">
      <w:pPr>
        <w:pStyle w:val="Heading1"/>
        <w:numPr>
          <w:ilvl w:val="0"/>
          <w:numId w:val="0"/>
        </w:numPr>
        <w:ind w:left="432" w:hanging="432"/>
        <w:rPr>
          <w:lang w:val="fr-BE"/>
        </w:rPr>
      </w:pPr>
      <w:bookmarkStart w:id="0" w:name="_Toc115962322"/>
      <w:r w:rsidRPr="00E761EB">
        <w:rPr>
          <w:lang w:val="fr-BE"/>
        </w:rPr>
        <w:t>Résumé</w:t>
      </w:r>
      <w:bookmarkEnd w:id="0"/>
    </w:p>
    <w:p w14:paraId="0B316C8A" w14:textId="0DCF3A78" w:rsidR="008907A2" w:rsidRDefault="00E3160A" w:rsidP="00BC55A7">
      <w:pPr>
        <w:rPr>
          <w:lang w:val="fr-BE"/>
        </w:rPr>
      </w:pPr>
      <w:r w:rsidRPr="00CB42EF">
        <w:rPr>
          <w:lang w:val="fr-BE"/>
        </w:rPr>
        <w:t>L</w:t>
      </w:r>
      <w:r w:rsidR="00CB42EF" w:rsidRPr="00CB42EF">
        <w:rPr>
          <w:lang w:val="fr-BE"/>
        </w:rPr>
        <w:t>e 27/9/2022, les partenaires sociaux</w:t>
      </w:r>
      <w:r w:rsidR="00CB42EF">
        <w:rPr>
          <w:lang w:val="fr-BE"/>
        </w:rPr>
        <w:t xml:space="preserve"> ont signé la </w:t>
      </w:r>
      <w:hyperlink r:id="rId12" w:history="1">
        <w:r w:rsidR="00CB42EF" w:rsidRPr="00460759">
          <w:rPr>
            <w:rStyle w:val="Hyperlink"/>
            <w:lang w:val="fr-BE"/>
          </w:rPr>
          <w:t>CCT n°161</w:t>
        </w:r>
      </w:hyperlink>
      <w:r w:rsidR="00CB42EF" w:rsidRPr="00460759">
        <w:rPr>
          <w:lang w:val="fr-BE"/>
        </w:rPr>
        <w:t xml:space="preserve"> du CNT</w:t>
      </w:r>
      <w:r w:rsidR="00267754" w:rsidRPr="00460759">
        <w:rPr>
          <w:lang w:val="fr-BE"/>
        </w:rPr>
        <w:t xml:space="preserve"> concernant le droit de demander une forme d’emploi comportant des conditions de travail plus prévisibles et plus sûres</w:t>
      </w:r>
      <w:r w:rsidR="00267754">
        <w:rPr>
          <w:lang w:val="fr-BE"/>
        </w:rPr>
        <w:t xml:space="preserve">. </w:t>
      </w:r>
    </w:p>
    <w:p w14:paraId="21043202" w14:textId="621CD6DA" w:rsidR="00CB42EF" w:rsidRPr="00821CE5" w:rsidRDefault="00267754" w:rsidP="00BC55A7">
      <w:pPr>
        <w:rPr>
          <w:lang w:val="fr-BE"/>
        </w:rPr>
      </w:pPr>
      <w:r>
        <w:rPr>
          <w:lang w:val="fr-BE"/>
        </w:rPr>
        <w:t xml:space="preserve">Cette CCT transpose, pour le secteur privé, l’article 12 de la </w:t>
      </w:r>
      <w:hyperlink r:id="rId13" w:history="1">
        <w:r w:rsidR="00CB42EF" w:rsidRPr="004D4CA4">
          <w:rPr>
            <w:rStyle w:val="Hyperlink"/>
            <w:lang w:val="fr-BE"/>
          </w:rPr>
          <w:t>Directive 2019/1152</w:t>
        </w:r>
      </w:hyperlink>
      <w:r w:rsidR="00CB42EF" w:rsidRPr="004D4CA4">
        <w:rPr>
          <w:lang w:val="fr-BE"/>
        </w:rPr>
        <w:t xml:space="preserve"> </w:t>
      </w:r>
      <w:r w:rsidR="00CB42EF" w:rsidRPr="00CB42EF">
        <w:rPr>
          <w:lang w:val="fr-BE"/>
        </w:rPr>
        <w:t>du 20 juin 2019 relative à des conditions de travail transparentes et prévisibles dans l’U</w:t>
      </w:r>
      <w:r w:rsidR="00CB42EF" w:rsidRPr="004D4CA4">
        <w:rPr>
          <w:lang w:val="fr-BE"/>
        </w:rPr>
        <w:t>E</w:t>
      </w:r>
      <w:r w:rsidR="00D46EF3">
        <w:rPr>
          <w:lang w:val="fr-BE"/>
        </w:rPr>
        <w:t xml:space="preserve">, mieux connue sous l’appellation « Directive TPWC » (transparent and </w:t>
      </w:r>
      <w:proofErr w:type="spellStart"/>
      <w:r w:rsidR="00D46EF3">
        <w:rPr>
          <w:lang w:val="fr-BE"/>
        </w:rPr>
        <w:t>predictable</w:t>
      </w:r>
      <w:proofErr w:type="spellEnd"/>
      <w:r w:rsidR="00D46EF3">
        <w:rPr>
          <w:lang w:val="fr-BE"/>
        </w:rPr>
        <w:t xml:space="preserve"> </w:t>
      </w:r>
      <w:proofErr w:type="spellStart"/>
      <w:r w:rsidR="00D46EF3">
        <w:rPr>
          <w:lang w:val="fr-BE"/>
        </w:rPr>
        <w:t>working</w:t>
      </w:r>
      <w:proofErr w:type="spellEnd"/>
      <w:r w:rsidR="00D46EF3">
        <w:rPr>
          <w:lang w:val="fr-BE"/>
        </w:rPr>
        <w:t xml:space="preserve"> conditions)</w:t>
      </w:r>
      <w:r w:rsidR="00D20CDF">
        <w:rPr>
          <w:lang w:val="fr-BE"/>
        </w:rPr>
        <w:t>.</w:t>
      </w:r>
    </w:p>
    <w:p w14:paraId="33CC9EFB" w14:textId="218A3CCD" w:rsidR="00671D34" w:rsidRDefault="00C37640" w:rsidP="00BC55A7">
      <w:pPr>
        <w:rPr>
          <w:lang w:val="fr-BE"/>
        </w:rPr>
      </w:pPr>
      <w:r>
        <w:rPr>
          <w:lang w:val="fr-BE"/>
        </w:rPr>
        <w:t>Comme son titre l’indique, l</w:t>
      </w:r>
      <w:r w:rsidR="000C2972">
        <w:rPr>
          <w:lang w:val="fr-BE"/>
        </w:rPr>
        <w:t xml:space="preserve">a CCT n°161 </w:t>
      </w:r>
      <w:r>
        <w:rPr>
          <w:lang w:val="fr-BE"/>
        </w:rPr>
        <w:t xml:space="preserve">concrétise les modalités et la procédure du « droit de demander » </w:t>
      </w:r>
      <w:r w:rsidR="00F35FCB">
        <w:rPr>
          <w:lang w:val="fr-BE"/>
        </w:rPr>
        <w:t>une autre forme d’emploi</w:t>
      </w:r>
      <w:r w:rsidR="00A945E3">
        <w:rPr>
          <w:lang w:val="fr-BE"/>
        </w:rPr>
        <w:t xml:space="preserve"> pour les travailleurs ayant au moins 6 mois d’ancienneté dans l’entreprise</w:t>
      </w:r>
      <w:r w:rsidR="007E5F29">
        <w:rPr>
          <w:lang w:val="fr-BE"/>
        </w:rPr>
        <w:t xml:space="preserve">. </w:t>
      </w:r>
      <w:r w:rsidR="000F630A">
        <w:rPr>
          <w:lang w:val="fr-BE"/>
        </w:rPr>
        <w:t>Il ne s’agit donc pas de créer ici de nouveaux congés, mais bien d’aménager</w:t>
      </w:r>
      <w:r w:rsidR="00EB77DC" w:rsidRPr="00EB77DC">
        <w:rPr>
          <w:lang w:val="fr-BE"/>
        </w:rPr>
        <w:t xml:space="preserve"> </w:t>
      </w:r>
      <w:r w:rsidR="00EB77DC">
        <w:rPr>
          <w:lang w:val="fr-BE"/>
        </w:rPr>
        <w:t>les modalités de travail</w:t>
      </w:r>
      <w:r w:rsidR="000F630A">
        <w:rPr>
          <w:lang w:val="fr-BE"/>
        </w:rPr>
        <w:t>, de commun accord et lorsque c’est possible</w:t>
      </w:r>
      <w:r w:rsidR="00EC4FA9">
        <w:rPr>
          <w:lang w:val="fr-BE"/>
        </w:rPr>
        <w:t xml:space="preserve"> d’un point de vue organisationnel</w:t>
      </w:r>
      <w:r w:rsidR="000F630A">
        <w:rPr>
          <w:lang w:val="fr-BE"/>
        </w:rPr>
        <w:t xml:space="preserve">. </w:t>
      </w:r>
    </w:p>
    <w:p w14:paraId="55C66431" w14:textId="7C32F61C" w:rsidR="000F630A" w:rsidRDefault="003840A0" w:rsidP="00BC55A7">
      <w:pPr>
        <w:rPr>
          <w:lang w:val="fr-BE"/>
        </w:rPr>
      </w:pPr>
      <w:r>
        <w:rPr>
          <w:lang w:val="fr-BE"/>
        </w:rPr>
        <w:t>En outre, u</w:t>
      </w:r>
      <w:r w:rsidR="00611FDB">
        <w:rPr>
          <w:lang w:val="fr-BE"/>
        </w:rPr>
        <w:t>ne protection contre le traitement défavorable et contre le licenciement</w:t>
      </w:r>
      <w:r w:rsidR="00D74E21">
        <w:rPr>
          <w:lang w:val="fr-BE"/>
        </w:rPr>
        <w:t xml:space="preserve"> est prévue pour le travailleur qui exerce son « droit de demander »</w:t>
      </w:r>
      <w:r w:rsidR="003517E7">
        <w:rPr>
          <w:lang w:val="fr-BE"/>
        </w:rPr>
        <w:t xml:space="preserve"> résultant de la CCT n°161.</w:t>
      </w:r>
    </w:p>
    <w:p w14:paraId="4A188CA1" w14:textId="0F6046AE" w:rsidR="00982703" w:rsidRDefault="003055B7" w:rsidP="00BC55A7">
      <w:pPr>
        <w:rPr>
          <w:lang w:val="fr-BE"/>
        </w:rPr>
      </w:pPr>
      <w:r>
        <w:rPr>
          <w:lang w:val="fr-BE"/>
        </w:rPr>
        <w:t>Enfin, c</w:t>
      </w:r>
      <w:r w:rsidR="00982703">
        <w:rPr>
          <w:lang w:val="fr-BE"/>
        </w:rPr>
        <w:t>ertains éléments sont expliqués da</w:t>
      </w:r>
      <w:r w:rsidR="00AE51F0">
        <w:rPr>
          <w:lang w:val="fr-BE"/>
        </w:rPr>
        <w:t xml:space="preserve">vantage </w:t>
      </w:r>
      <w:r w:rsidR="00982703">
        <w:rPr>
          <w:lang w:val="fr-BE"/>
        </w:rPr>
        <w:t>par les partenaires so</w:t>
      </w:r>
      <w:r w:rsidR="00AE51F0">
        <w:rPr>
          <w:lang w:val="fr-BE"/>
        </w:rPr>
        <w:t xml:space="preserve">ciaux dans leur </w:t>
      </w:r>
      <w:hyperlink r:id="rId14" w:history="1">
        <w:r w:rsidR="00AE51F0" w:rsidRPr="0077051B">
          <w:rPr>
            <w:rStyle w:val="Hyperlink"/>
            <w:lang w:val="fr-BE"/>
          </w:rPr>
          <w:t>Avis n°2314</w:t>
        </w:r>
      </w:hyperlink>
      <w:r w:rsidR="00AE51F0">
        <w:rPr>
          <w:lang w:val="fr-BE"/>
        </w:rPr>
        <w:t>.</w:t>
      </w:r>
    </w:p>
    <w:p w14:paraId="7B842E3D" w14:textId="5C6DC8A6" w:rsidR="00D53B8E" w:rsidRDefault="00D53B8E" w:rsidP="00BC55A7">
      <w:pPr>
        <w:rPr>
          <w:lang w:val="fr-BE"/>
        </w:rPr>
      </w:pPr>
      <w:r>
        <w:rPr>
          <w:lang w:val="fr-BE"/>
        </w:rPr>
        <w:br w:type="page"/>
      </w:r>
    </w:p>
    <w:p w14:paraId="29317F1D" w14:textId="1850D3B9" w:rsidR="00671D34" w:rsidRDefault="007E25CD" w:rsidP="00EB5B2E">
      <w:pPr>
        <w:pStyle w:val="Heading1"/>
        <w:numPr>
          <w:ilvl w:val="0"/>
          <w:numId w:val="0"/>
        </w:numPr>
        <w:ind w:left="432" w:hanging="432"/>
        <w:rPr>
          <w:lang w:val="fr-BE"/>
        </w:rPr>
      </w:pPr>
      <w:bookmarkStart w:id="1" w:name="_Toc115962323"/>
      <w:r>
        <w:rPr>
          <w:lang w:val="fr-BE"/>
        </w:rPr>
        <w:lastRenderedPageBreak/>
        <w:t>Table des matières</w:t>
      </w:r>
      <w:bookmarkEnd w:id="1"/>
    </w:p>
    <w:p w14:paraId="40B8BC76" w14:textId="5C49BEED" w:rsidR="00C41B3A" w:rsidRDefault="00EB5B2E">
      <w:pPr>
        <w:pStyle w:val="TOC1"/>
        <w:tabs>
          <w:tab w:val="right" w:leader="dot" w:pos="9628"/>
        </w:tabs>
        <w:rPr>
          <w:rFonts w:eastAsiaTheme="minorEastAsia"/>
          <w:b w:val="0"/>
          <w:noProof/>
          <w:lang w:val="en-BE" w:eastAsia="en-BE"/>
        </w:rPr>
      </w:pPr>
      <w:r>
        <w:rPr>
          <w:lang w:val="fr-BE"/>
        </w:rPr>
        <w:fldChar w:fldCharType="begin"/>
      </w:r>
      <w:r>
        <w:rPr>
          <w:lang w:val="fr-BE"/>
        </w:rPr>
        <w:instrText xml:space="preserve"> TOC \o "1-3" \h \z \u </w:instrText>
      </w:r>
      <w:r>
        <w:rPr>
          <w:lang w:val="fr-BE"/>
        </w:rPr>
        <w:fldChar w:fldCharType="separate"/>
      </w:r>
      <w:hyperlink w:anchor="_Toc115962322" w:history="1">
        <w:r w:rsidR="00C41B3A" w:rsidRPr="00785F76">
          <w:rPr>
            <w:rStyle w:val="Hyperlink"/>
            <w:noProof/>
            <w:lang w:val="fr-BE"/>
          </w:rPr>
          <w:t>Résumé</w:t>
        </w:r>
        <w:r w:rsidR="00C41B3A">
          <w:rPr>
            <w:noProof/>
            <w:webHidden/>
          </w:rPr>
          <w:tab/>
        </w:r>
        <w:r w:rsidR="00C41B3A">
          <w:rPr>
            <w:noProof/>
            <w:webHidden/>
          </w:rPr>
          <w:fldChar w:fldCharType="begin"/>
        </w:r>
        <w:r w:rsidR="00C41B3A">
          <w:rPr>
            <w:noProof/>
            <w:webHidden/>
          </w:rPr>
          <w:instrText xml:space="preserve"> PAGEREF _Toc115962322 \h </w:instrText>
        </w:r>
        <w:r w:rsidR="00C41B3A">
          <w:rPr>
            <w:noProof/>
            <w:webHidden/>
          </w:rPr>
        </w:r>
        <w:r w:rsidR="00C41B3A">
          <w:rPr>
            <w:noProof/>
            <w:webHidden/>
          </w:rPr>
          <w:fldChar w:fldCharType="separate"/>
        </w:r>
        <w:r w:rsidR="00C41B3A">
          <w:rPr>
            <w:noProof/>
            <w:webHidden/>
          </w:rPr>
          <w:t>1</w:t>
        </w:r>
        <w:r w:rsidR="00C41B3A">
          <w:rPr>
            <w:noProof/>
            <w:webHidden/>
          </w:rPr>
          <w:fldChar w:fldCharType="end"/>
        </w:r>
      </w:hyperlink>
    </w:p>
    <w:p w14:paraId="0A22C041" w14:textId="53718F8B" w:rsidR="00C41B3A" w:rsidRDefault="00C41B3A">
      <w:pPr>
        <w:pStyle w:val="TOC1"/>
        <w:tabs>
          <w:tab w:val="right" w:leader="dot" w:pos="9628"/>
        </w:tabs>
        <w:rPr>
          <w:rFonts w:eastAsiaTheme="minorEastAsia"/>
          <w:b w:val="0"/>
          <w:noProof/>
          <w:lang w:val="en-BE" w:eastAsia="en-BE"/>
        </w:rPr>
      </w:pPr>
      <w:hyperlink w:anchor="_Toc115962323" w:history="1">
        <w:r w:rsidRPr="00785F76">
          <w:rPr>
            <w:rStyle w:val="Hyperlink"/>
            <w:noProof/>
            <w:lang w:val="fr-BE"/>
          </w:rPr>
          <w:t>Table des matières</w:t>
        </w:r>
        <w:r>
          <w:rPr>
            <w:noProof/>
            <w:webHidden/>
          </w:rPr>
          <w:tab/>
        </w:r>
        <w:r>
          <w:rPr>
            <w:noProof/>
            <w:webHidden/>
          </w:rPr>
          <w:fldChar w:fldCharType="begin"/>
        </w:r>
        <w:r>
          <w:rPr>
            <w:noProof/>
            <w:webHidden/>
          </w:rPr>
          <w:instrText xml:space="preserve"> PAGEREF _Toc115962323 \h </w:instrText>
        </w:r>
        <w:r>
          <w:rPr>
            <w:noProof/>
            <w:webHidden/>
          </w:rPr>
        </w:r>
        <w:r>
          <w:rPr>
            <w:noProof/>
            <w:webHidden/>
          </w:rPr>
          <w:fldChar w:fldCharType="separate"/>
        </w:r>
        <w:r>
          <w:rPr>
            <w:noProof/>
            <w:webHidden/>
          </w:rPr>
          <w:t>2</w:t>
        </w:r>
        <w:r>
          <w:rPr>
            <w:noProof/>
            <w:webHidden/>
          </w:rPr>
          <w:fldChar w:fldCharType="end"/>
        </w:r>
      </w:hyperlink>
    </w:p>
    <w:p w14:paraId="723638BB" w14:textId="64453946" w:rsidR="00C41B3A" w:rsidRDefault="00C41B3A">
      <w:pPr>
        <w:pStyle w:val="TOC1"/>
        <w:tabs>
          <w:tab w:val="left" w:pos="403"/>
          <w:tab w:val="right" w:leader="dot" w:pos="9628"/>
        </w:tabs>
        <w:rPr>
          <w:rFonts w:eastAsiaTheme="minorEastAsia"/>
          <w:b w:val="0"/>
          <w:noProof/>
          <w:lang w:val="en-BE" w:eastAsia="en-BE"/>
        </w:rPr>
      </w:pPr>
      <w:hyperlink w:anchor="_Toc115962324" w:history="1">
        <w:r w:rsidRPr="00785F76">
          <w:rPr>
            <w:rStyle w:val="Hyperlink"/>
            <w:noProof/>
            <w:lang w:val="fr-BE"/>
          </w:rPr>
          <w:t>1</w:t>
        </w:r>
        <w:r>
          <w:rPr>
            <w:rFonts w:eastAsiaTheme="minorEastAsia"/>
            <w:b w:val="0"/>
            <w:noProof/>
            <w:lang w:val="en-BE" w:eastAsia="en-BE"/>
          </w:rPr>
          <w:tab/>
        </w:r>
        <w:r w:rsidRPr="00785F76">
          <w:rPr>
            <w:rStyle w:val="Hyperlink"/>
            <w:noProof/>
            <w:lang w:val="fr-BE"/>
          </w:rPr>
          <w:t>Transition vers une autre forme d’emploi (art. 12 Dir. 2019/1152)</w:t>
        </w:r>
        <w:r>
          <w:rPr>
            <w:noProof/>
            <w:webHidden/>
          </w:rPr>
          <w:tab/>
        </w:r>
        <w:r>
          <w:rPr>
            <w:noProof/>
            <w:webHidden/>
          </w:rPr>
          <w:fldChar w:fldCharType="begin"/>
        </w:r>
        <w:r>
          <w:rPr>
            <w:noProof/>
            <w:webHidden/>
          </w:rPr>
          <w:instrText xml:space="preserve"> PAGEREF _Toc115962324 \h </w:instrText>
        </w:r>
        <w:r>
          <w:rPr>
            <w:noProof/>
            <w:webHidden/>
          </w:rPr>
        </w:r>
        <w:r>
          <w:rPr>
            <w:noProof/>
            <w:webHidden/>
          </w:rPr>
          <w:fldChar w:fldCharType="separate"/>
        </w:r>
        <w:r>
          <w:rPr>
            <w:noProof/>
            <w:webHidden/>
          </w:rPr>
          <w:t>3</w:t>
        </w:r>
        <w:r>
          <w:rPr>
            <w:noProof/>
            <w:webHidden/>
          </w:rPr>
          <w:fldChar w:fldCharType="end"/>
        </w:r>
      </w:hyperlink>
    </w:p>
    <w:p w14:paraId="252B43D7" w14:textId="78334C5A" w:rsidR="00C41B3A" w:rsidRDefault="00C41B3A">
      <w:pPr>
        <w:pStyle w:val="TOC1"/>
        <w:tabs>
          <w:tab w:val="left" w:pos="403"/>
          <w:tab w:val="right" w:leader="dot" w:pos="9628"/>
        </w:tabs>
        <w:rPr>
          <w:rFonts w:eastAsiaTheme="minorEastAsia"/>
          <w:b w:val="0"/>
          <w:noProof/>
          <w:lang w:val="en-BE" w:eastAsia="en-BE"/>
        </w:rPr>
      </w:pPr>
      <w:hyperlink w:anchor="_Toc115962325" w:history="1">
        <w:r w:rsidRPr="00785F76">
          <w:rPr>
            <w:rStyle w:val="Hyperlink"/>
            <w:noProof/>
            <w:lang w:val="fr-BE"/>
          </w:rPr>
          <w:t>2</w:t>
        </w:r>
        <w:r>
          <w:rPr>
            <w:rFonts w:eastAsiaTheme="minorEastAsia"/>
            <w:b w:val="0"/>
            <w:noProof/>
            <w:lang w:val="en-BE" w:eastAsia="en-BE"/>
          </w:rPr>
          <w:tab/>
        </w:r>
        <w:r w:rsidRPr="00785F76">
          <w:rPr>
            <w:rStyle w:val="Hyperlink"/>
            <w:noProof/>
            <w:lang w:val="fr-BE"/>
          </w:rPr>
          <w:t>Processus législatif</w:t>
        </w:r>
        <w:r>
          <w:rPr>
            <w:noProof/>
            <w:webHidden/>
          </w:rPr>
          <w:tab/>
        </w:r>
        <w:r>
          <w:rPr>
            <w:noProof/>
            <w:webHidden/>
          </w:rPr>
          <w:fldChar w:fldCharType="begin"/>
        </w:r>
        <w:r>
          <w:rPr>
            <w:noProof/>
            <w:webHidden/>
          </w:rPr>
          <w:instrText xml:space="preserve"> PAGEREF _Toc115962325 \h </w:instrText>
        </w:r>
        <w:r>
          <w:rPr>
            <w:noProof/>
            <w:webHidden/>
          </w:rPr>
        </w:r>
        <w:r>
          <w:rPr>
            <w:noProof/>
            <w:webHidden/>
          </w:rPr>
          <w:fldChar w:fldCharType="separate"/>
        </w:r>
        <w:r>
          <w:rPr>
            <w:noProof/>
            <w:webHidden/>
          </w:rPr>
          <w:t>3</w:t>
        </w:r>
        <w:r>
          <w:rPr>
            <w:noProof/>
            <w:webHidden/>
          </w:rPr>
          <w:fldChar w:fldCharType="end"/>
        </w:r>
      </w:hyperlink>
    </w:p>
    <w:p w14:paraId="07D643C9" w14:textId="2BAE84A7" w:rsidR="00C41B3A" w:rsidRDefault="00C41B3A">
      <w:pPr>
        <w:pStyle w:val="TOC1"/>
        <w:tabs>
          <w:tab w:val="left" w:pos="403"/>
          <w:tab w:val="right" w:leader="dot" w:pos="9628"/>
        </w:tabs>
        <w:rPr>
          <w:rFonts w:eastAsiaTheme="minorEastAsia"/>
          <w:b w:val="0"/>
          <w:noProof/>
          <w:lang w:val="en-BE" w:eastAsia="en-BE"/>
        </w:rPr>
      </w:pPr>
      <w:hyperlink w:anchor="_Toc115962326" w:history="1">
        <w:r w:rsidRPr="00785F76">
          <w:rPr>
            <w:rStyle w:val="Hyperlink"/>
            <w:noProof/>
            <w:lang w:val="fr-BE"/>
          </w:rPr>
          <w:t>3</w:t>
        </w:r>
        <w:r>
          <w:rPr>
            <w:rFonts w:eastAsiaTheme="minorEastAsia"/>
            <w:b w:val="0"/>
            <w:noProof/>
            <w:lang w:val="en-BE" w:eastAsia="en-BE"/>
          </w:rPr>
          <w:tab/>
        </w:r>
        <w:r w:rsidRPr="00785F76">
          <w:rPr>
            <w:rStyle w:val="Hyperlink"/>
            <w:noProof/>
            <w:lang w:val="fr-BE"/>
          </w:rPr>
          <w:t>Champ d’application de la CCT n°161 (art. 3 à 5)</w:t>
        </w:r>
        <w:r>
          <w:rPr>
            <w:noProof/>
            <w:webHidden/>
          </w:rPr>
          <w:tab/>
        </w:r>
        <w:r>
          <w:rPr>
            <w:noProof/>
            <w:webHidden/>
          </w:rPr>
          <w:fldChar w:fldCharType="begin"/>
        </w:r>
        <w:r>
          <w:rPr>
            <w:noProof/>
            <w:webHidden/>
          </w:rPr>
          <w:instrText xml:space="preserve"> PAGEREF _Toc115962326 \h </w:instrText>
        </w:r>
        <w:r>
          <w:rPr>
            <w:noProof/>
            <w:webHidden/>
          </w:rPr>
        </w:r>
        <w:r>
          <w:rPr>
            <w:noProof/>
            <w:webHidden/>
          </w:rPr>
          <w:fldChar w:fldCharType="separate"/>
        </w:r>
        <w:r>
          <w:rPr>
            <w:noProof/>
            <w:webHidden/>
          </w:rPr>
          <w:t>4</w:t>
        </w:r>
        <w:r>
          <w:rPr>
            <w:noProof/>
            <w:webHidden/>
          </w:rPr>
          <w:fldChar w:fldCharType="end"/>
        </w:r>
      </w:hyperlink>
    </w:p>
    <w:p w14:paraId="41F31DBB" w14:textId="55C44773" w:rsidR="00C41B3A" w:rsidRDefault="00C41B3A">
      <w:pPr>
        <w:pStyle w:val="TOC2"/>
        <w:tabs>
          <w:tab w:val="left" w:pos="880"/>
          <w:tab w:val="right" w:leader="dot" w:pos="9628"/>
        </w:tabs>
        <w:rPr>
          <w:rFonts w:eastAsiaTheme="minorEastAsia"/>
          <w:noProof/>
          <w:lang w:val="en-BE" w:eastAsia="en-BE"/>
        </w:rPr>
      </w:pPr>
      <w:hyperlink w:anchor="_Toc115962327" w:history="1">
        <w:r w:rsidRPr="00785F76">
          <w:rPr>
            <w:rStyle w:val="Hyperlink"/>
            <w:noProof/>
            <w:lang w:val="fr-BE"/>
          </w:rPr>
          <w:t>3.1</w:t>
        </w:r>
        <w:r>
          <w:rPr>
            <w:rFonts w:eastAsiaTheme="minorEastAsia"/>
            <w:noProof/>
            <w:lang w:val="en-BE" w:eastAsia="en-BE"/>
          </w:rPr>
          <w:tab/>
        </w:r>
        <w:r w:rsidRPr="00785F76">
          <w:rPr>
            <w:rStyle w:val="Hyperlink"/>
            <w:noProof/>
            <w:lang w:val="fr-BE"/>
          </w:rPr>
          <w:t>Principe : tous les travailleurs ayant au moins 6 mois d’ancienneté</w:t>
        </w:r>
        <w:r>
          <w:rPr>
            <w:noProof/>
            <w:webHidden/>
          </w:rPr>
          <w:tab/>
        </w:r>
        <w:r>
          <w:rPr>
            <w:noProof/>
            <w:webHidden/>
          </w:rPr>
          <w:fldChar w:fldCharType="begin"/>
        </w:r>
        <w:r>
          <w:rPr>
            <w:noProof/>
            <w:webHidden/>
          </w:rPr>
          <w:instrText xml:space="preserve"> PAGEREF _Toc115962327 \h </w:instrText>
        </w:r>
        <w:r>
          <w:rPr>
            <w:noProof/>
            <w:webHidden/>
          </w:rPr>
        </w:r>
        <w:r>
          <w:rPr>
            <w:noProof/>
            <w:webHidden/>
          </w:rPr>
          <w:fldChar w:fldCharType="separate"/>
        </w:r>
        <w:r>
          <w:rPr>
            <w:noProof/>
            <w:webHidden/>
          </w:rPr>
          <w:t>4</w:t>
        </w:r>
        <w:r>
          <w:rPr>
            <w:noProof/>
            <w:webHidden/>
          </w:rPr>
          <w:fldChar w:fldCharType="end"/>
        </w:r>
      </w:hyperlink>
    </w:p>
    <w:p w14:paraId="26C8731D" w14:textId="0AB44EA6" w:rsidR="00C41B3A" w:rsidRDefault="00C41B3A">
      <w:pPr>
        <w:pStyle w:val="TOC2"/>
        <w:tabs>
          <w:tab w:val="left" w:pos="880"/>
          <w:tab w:val="right" w:leader="dot" w:pos="9628"/>
        </w:tabs>
        <w:rPr>
          <w:rFonts w:eastAsiaTheme="minorEastAsia"/>
          <w:noProof/>
          <w:lang w:val="en-BE" w:eastAsia="en-BE"/>
        </w:rPr>
      </w:pPr>
      <w:hyperlink w:anchor="_Toc115962328" w:history="1">
        <w:r w:rsidRPr="00785F76">
          <w:rPr>
            <w:rStyle w:val="Hyperlink"/>
            <w:noProof/>
            <w:lang w:val="fr-BE"/>
          </w:rPr>
          <w:t>3.2</w:t>
        </w:r>
        <w:r>
          <w:rPr>
            <w:rFonts w:eastAsiaTheme="minorEastAsia"/>
            <w:noProof/>
            <w:lang w:val="en-BE" w:eastAsia="en-BE"/>
          </w:rPr>
          <w:tab/>
        </w:r>
        <w:r w:rsidRPr="00785F76">
          <w:rPr>
            <w:rStyle w:val="Hyperlink"/>
            <w:noProof/>
            <w:lang w:val="fr-BE"/>
          </w:rPr>
          <w:t>Exception</w:t>
        </w:r>
        <w:r>
          <w:rPr>
            <w:noProof/>
            <w:webHidden/>
          </w:rPr>
          <w:tab/>
        </w:r>
        <w:r>
          <w:rPr>
            <w:noProof/>
            <w:webHidden/>
          </w:rPr>
          <w:fldChar w:fldCharType="begin"/>
        </w:r>
        <w:r>
          <w:rPr>
            <w:noProof/>
            <w:webHidden/>
          </w:rPr>
          <w:instrText xml:space="preserve"> PAGEREF _Toc115962328 \h </w:instrText>
        </w:r>
        <w:r>
          <w:rPr>
            <w:noProof/>
            <w:webHidden/>
          </w:rPr>
        </w:r>
        <w:r>
          <w:rPr>
            <w:noProof/>
            <w:webHidden/>
          </w:rPr>
          <w:fldChar w:fldCharType="separate"/>
        </w:r>
        <w:r>
          <w:rPr>
            <w:noProof/>
            <w:webHidden/>
          </w:rPr>
          <w:t>4</w:t>
        </w:r>
        <w:r>
          <w:rPr>
            <w:noProof/>
            <w:webHidden/>
          </w:rPr>
          <w:fldChar w:fldCharType="end"/>
        </w:r>
      </w:hyperlink>
    </w:p>
    <w:p w14:paraId="72F4F3C0" w14:textId="1D834145" w:rsidR="00C41B3A" w:rsidRDefault="00C41B3A">
      <w:pPr>
        <w:pStyle w:val="TOC1"/>
        <w:tabs>
          <w:tab w:val="left" w:pos="403"/>
          <w:tab w:val="right" w:leader="dot" w:pos="9628"/>
        </w:tabs>
        <w:rPr>
          <w:rFonts w:eastAsiaTheme="minorEastAsia"/>
          <w:b w:val="0"/>
          <w:noProof/>
          <w:lang w:val="en-BE" w:eastAsia="en-BE"/>
        </w:rPr>
      </w:pPr>
      <w:hyperlink w:anchor="_Toc115962329" w:history="1">
        <w:r w:rsidRPr="00785F76">
          <w:rPr>
            <w:rStyle w:val="Hyperlink"/>
            <w:noProof/>
            <w:lang w:val="fr-BE"/>
          </w:rPr>
          <w:t>4</w:t>
        </w:r>
        <w:r>
          <w:rPr>
            <w:rFonts w:eastAsiaTheme="minorEastAsia"/>
            <w:b w:val="0"/>
            <w:noProof/>
            <w:lang w:val="en-BE" w:eastAsia="en-BE"/>
          </w:rPr>
          <w:tab/>
        </w:r>
        <w:r w:rsidRPr="00785F76">
          <w:rPr>
            <w:rStyle w:val="Hyperlink"/>
            <w:noProof/>
            <w:lang w:val="fr-BE"/>
          </w:rPr>
          <w:t>Définition des conditions de travail plus prévisibles et plus sûres (art. 6)</w:t>
        </w:r>
        <w:r>
          <w:rPr>
            <w:noProof/>
            <w:webHidden/>
          </w:rPr>
          <w:tab/>
        </w:r>
        <w:r>
          <w:rPr>
            <w:noProof/>
            <w:webHidden/>
          </w:rPr>
          <w:fldChar w:fldCharType="begin"/>
        </w:r>
        <w:r>
          <w:rPr>
            <w:noProof/>
            <w:webHidden/>
          </w:rPr>
          <w:instrText xml:space="preserve"> PAGEREF _Toc115962329 \h </w:instrText>
        </w:r>
        <w:r>
          <w:rPr>
            <w:noProof/>
            <w:webHidden/>
          </w:rPr>
        </w:r>
        <w:r>
          <w:rPr>
            <w:noProof/>
            <w:webHidden/>
          </w:rPr>
          <w:fldChar w:fldCharType="separate"/>
        </w:r>
        <w:r>
          <w:rPr>
            <w:noProof/>
            <w:webHidden/>
          </w:rPr>
          <w:t>5</w:t>
        </w:r>
        <w:r>
          <w:rPr>
            <w:noProof/>
            <w:webHidden/>
          </w:rPr>
          <w:fldChar w:fldCharType="end"/>
        </w:r>
      </w:hyperlink>
    </w:p>
    <w:p w14:paraId="3A38133F" w14:textId="1795E484" w:rsidR="00C41B3A" w:rsidRDefault="00C41B3A">
      <w:pPr>
        <w:pStyle w:val="TOC1"/>
        <w:tabs>
          <w:tab w:val="left" w:pos="403"/>
          <w:tab w:val="right" w:leader="dot" w:pos="9628"/>
        </w:tabs>
        <w:rPr>
          <w:rFonts w:eastAsiaTheme="minorEastAsia"/>
          <w:b w:val="0"/>
          <w:noProof/>
          <w:lang w:val="en-BE" w:eastAsia="en-BE"/>
        </w:rPr>
      </w:pPr>
      <w:hyperlink w:anchor="_Toc115962330" w:history="1">
        <w:r w:rsidRPr="00785F76">
          <w:rPr>
            <w:rStyle w:val="Hyperlink"/>
            <w:noProof/>
            <w:lang w:val="fr-BE"/>
          </w:rPr>
          <w:t>5</w:t>
        </w:r>
        <w:r>
          <w:rPr>
            <w:rFonts w:eastAsiaTheme="minorEastAsia"/>
            <w:b w:val="0"/>
            <w:noProof/>
            <w:lang w:val="en-BE" w:eastAsia="en-BE"/>
          </w:rPr>
          <w:tab/>
        </w:r>
        <w:r w:rsidRPr="00785F76">
          <w:rPr>
            <w:rStyle w:val="Hyperlink"/>
            <w:noProof/>
            <w:lang w:val="fr-BE"/>
          </w:rPr>
          <w:t>Procédure de demande d’une forme d’emploi plus prévisible et plus sûre (art. 7 à 13)</w:t>
        </w:r>
        <w:r>
          <w:rPr>
            <w:noProof/>
            <w:webHidden/>
          </w:rPr>
          <w:tab/>
        </w:r>
        <w:r>
          <w:rPr>
            <w:noProof/>
            <w:webHidden/>
          </w:rPr>
          <w:fldChar w:fldCharType="begin"/>
        </w:r>
        <w:r>
          <w:rPr>
            <w:noProof/>
            <w:webHidden/>
          </w:rPr>
          <w:instrText xml:space="preserve"> PAGEREF _Toc115962330 \h </w:instrText>
        </w:r>
        <w:r>
          <w:rPr>
            <w:noProof/>
            <w:webHidden/>
          </w:rPr>
        </w:r>
        <w:r>
          <w:rPr>
            <w:noProof/>
            <w:webHidden/>
          </w:rPr>
          <w:fldChar w:fldCharType="separate"/>
        </w:r>
        <w:r>
          <w:rPr>
            <w:noProof/>
            <w:webHidden/>
          </w:rPr>
          <w:t>6</w:t>
        </w:r>
        <w:r>
          <w:rPr>
            <w:noProof/>
            <w:webHidden/>
          </w:rPr>
          <w:fldChar w:fldCharType="end"/>
        </w:r>
      </w:hyperlink>
    </w:p>
    <w:p w14:paraId="14473387" w14:textId="3162871C" w:rsidR="00C41B3A" w:rsidRDefault="00C41B3A">
      <w:pPr>
        <w:pStyle w:val="TOC2"/>
        <w:tabs>
          <w:tab w:val="left" w:pos="880"/>
          <w:tab w:val="right" w:leader="dot" w:pos="9628"/>
        </w:tabs>
        <w:rPr>
          <w:rFonts w:eastAsiaTheme="minorEastAsia"/>
          <w:noProof/>
          <w:lang w:val="en-BE" w:eastAsia="en-BE"/>
        </w:rPr>
      </w:pPr>
      <w:hyperlink w:anchor="_Toc115962331" w:history="1">
        <w:r w:rsidRPr="00785F76">
          <w:rPr>
            <w:rStyle w:val="Hyperlink"/>
            <w:noProof/>
            <w:lang w:val="fr-BE"/>
          </w:rPr>
          <w:t>5.1</w:t>
        </w:r>
        <w:r>
          <w:rPr>
            <w:rFonts w:eastAsiaTheme="minorEastAsia"/>
            <w:noProof/>
            <w:lang w:val="en-BE" w:eastAsia="en-BE"/>
          </w:rPr>
          <w:tab/>
        </w:r>
        <w:r w:rsidRPr="00785F76">
          <w:rPr>
            <w:rStyle w:val="Hyperlink"/>
            <w:noProof/>
            <w:lang w:val="fr-BE"/>
          </w:rPr>
          <w:t>Demande par le travailleur</w:t>
        </w:r>
        <w:r>
          <w:rPr>
            <w:noProof/>
            <w:webHidden/>
          </w:rPr>
          <w:tab/>
        </w:r>
        <w:r>
          <w:rPr>
            <w:noProof/>
            <w:webHidden/>
          </w:rPr>
          <w:fldChar w:fldCharType="begin"/>
        </w:r>
        <w:r>
          <w:rPr>
            <w:noProof/>
            <w:webHidden/>
          </w:rPr>
          <w:instrText xml:space="preserve"> PAGEREF _Toc115962331 \h </w:instrText>
        </w:r>
        <w:r>
          <w:rPr>
            <w:noProof/>
            <w:webHidden/>
          </w:rPr>
        </w:r>
        <w:r>
          <w:rPr>
            <w:noProof/>
            <w:webHidden/>
          </w:rPr>
          <w:fldChar w:fldCharType="separate"/>
        </w:r>
        <w:r>
          <w:rPr>
            <w:noProof/>
            <w:webHidden/>
          </w:rPr>
          <w:t>6</w:t>
        </w:r>
        <w:r>
          <w:rPr>
            <w:noProof/>
            <w:webHidden/>
          </w:rPr>
          <w:fldChar w:fldCharType="end"/>
        </w:r>
      </w:hyperlink>
    </w:p>
    <w:p w14:paraId="0A907B24" w14:textId="1E38CE09" w:rsidR="00C41B3A" w:rsidRDefault="00C41B3A">
      <w:pPr>
        <w:pStyle w:val="TOC2"/>
        <w:tabs>
          <w:tab w:val="left" w:pos="880"/>
          <w:tab w:val="right" w:leader="dot" w:pos="9628"/>
        </w:tabs>
        <w:rPr>
          <w:rFonts w:eastAsiaTheme="minorEastAsia"/>
          <w:noProof/>
          <w:lang w:val="en-BE" w:eastAsia="en-BE"/>
        </w:rPr>
      </w:pPr>
      <w:hyperlink w:anchor="_Toc115962332" w:history="1">
        <w:r w:rsidRPr="00785F76">
          <w:rPr>
            <w:rStyle w:val="Hyperlink"/>
            <w:noProof/>
            <w:lang w:val="fr-BE"/>
          </w:rPr>
          <w:t>5.2</w:t>
        </w:r>
        <w:r>
          <w:rPr>
            <w:rFonts w:eastAsiaTheme="minorEastAsia"/>
            <w:noProof/>
            <w:lang w:val="en-BE" w:eastAsia="en-BE"/>
          </w:rPr>
          <w:tab/>
        </w:r>
        <w:r w:rsidRPr="00785F76">
          <w:rPr>
            <w:rStyle w:val="Hyperlink"/>
            <w:noProof/>
            <w:lang w:val="fr-BE"/>
          </w:rPr>
          <w:t>Réponse par l’employeur</w:t>
        </w:r>
        <w:r>
          <w:rPr>
            <w:noProof/>
            <w:webHidden/>
          </w:rPr>
          <w:tab/>
        </w:r>
        <w:r>
          <w:rPr>
            <w:noProof/>
            <w:webHidden/>
          </w:rPr>
          <w:fldChar w:fldCharType="begin"/>
        </w:r>
        <w:r>
          <w:rPr>
            <w:noProof/>
            <w:webHidden/>
          </w:rPr>
          <w:instrText xml:space="preserve"> PAGEREF _Toc115962332 \h </w:instrText>
        </w:r>
        <w:r>
          <w:rPr>
            <w:noProof/>
            <w:webHidden/>
          </w:rPr>
        </w:r>
        <w:r>
          <w:rPr>
            <w:noProof/>
            <w:webHidden/>
          </w:rPr>
          <w:fldChar w:fldCharType="separate"/>
        </w:r>
        <w:r>
          <w:rPr>
            <w:noProof/>
            <w:webHidden/>
          </w:rPr>
          <w:t>6</w:t>
        </w:r>
        <w:r>
          <w:rPr>
            <w:noProof/>
            <w:webHidden/>
          </w:rPr>
          <w:fldChar w:fldCharType="end"/>
        </w:r>
      </w:hyperlink>
    </w:p>
    <w:p w14:paraId="63D0D749" w14:textId="1AF151D9" w:rsidR="00C41B3A" w:rsidRDefault="00C41B3A">
      <w:pPr>
        <w:pStyle w:val="TOC3"/>
        <w:tabs>
          <w:tab w:val="left" w:pos="1100"/>
          <w:tab w:val="right" w:leader="dot" w:pos="9628"/>
        </w:tabs>
        <w:rPr>
          <w:rFonts w:eastAsiaTheme="minorEastAsia"/>
          <w:noProof/>
          <w:lang w:val="en-BE" w:eastAsia="en-BE"/>
        </w:rPr>
      </w:pPr>
      <w:hyperlink w:anchor="_Toc115962333" w:history="1">
        <w:r w:rsidRPr="00785F76">
          <w:rPr>
            <w:rStyle w:val="Hyperlink"/>
            <w:noProof/>
            <w:lang w:val="fr-BE"/>
          </w:rPr>
          <w:t>5.2.1</w:t>
        </w:r>
        <w:r>
          <w:rPr>
            <w:rFonts w:eastAsiaTheme="minorEastAsia"/>
            <w:noProof/>
            <w:lang w:val="en-BE" w:eastAsia="en-BE"/>
          </w:rPr>
          <w:tab/>
        </w:r>
        <w:r w:rsidRPr="00785F76">
          <w:rPr>
            <w:rStyle w:val="Hyperlink"/>
            <w:noProof/>
            <w:lang w:val="fr-BE"/>
          </w:rPr>
          <w:t>Principe</w:t>
        </w:r>
        <w:r>
          <w:rPr>
            <w:noProof/>
            <w:webHidden/>
          </w:rPr>
          <w:tab/>
        </w:r>
        <w:r>
          <w:rPr>
            <w:noProof/>
            <w:webHidden/>
          </w:rPr>
          <w:fldChar w:fldCharType="begin"/>
        </w:r>
        <w:r>
          <w:rPr>
            <w:noProof/>
            <w:webHidden/>
          </w:rPr>
          <w:instrText xml:space="preserve"> PAGEREF _Toc115962333 \h </w:instrText>
        </w:r>
        <w:r>
          <w:rPr>
            <w:noProof/>
            <w:webHidden/>
          </w:rPr>
        </w:r>
        <w:r>
          <w:rPr>
            <w:noProof/>
            <w:webHidden/>
          </w:rPr>
          <w:fldChar w:fldCharType="separate"/>
        </w:r>
        <w:r>
          <w:rPr>
            <w:noProof/>
            <w:webHidden/>
          </w:rPr>
          <w:t>6</w:t>
        </w:r>
        <w:r>
          <w:rPr>
            <w:noProof/>
            <w:webHidden/>
          </w:rPr>
          <w:fldChar w:fldCharType="end"/>
        </w:r>
      </w:hyperlink>
    </w:p>
    <w:p w14:paraId="5DE00919" w14:textId="5603FE88" w:rsidR="00C41B3A" w:rsidRDefault="00C41B3A">
      <w:pPr>
        <w:pStyle w:val="TOC3"/>
        <w:tabs>
          <w:tab w:val="left" w:pos="1100"/>
          <w:tab w:val="right" w:leader="dot" w:pos="9628"/>
        </w:tabs>
        <w:rPr>
          <w:rFonts w:eastAsiaTheme="minorEastAsia"/>
          <w:noProof/>
          <w:lang w:val="en-BE" w:eastAsia="en-BE"/>
        </w:rPr>
      </w:pPr>
      <w:hyperlink w:anchor="_Toc115962334" w:history="1">
        <w:r w:rsidRPr="00785F76">
          <w:rPr>
            <w:rStyle w:val="Hyperlink"/>
            <w:noProof/>
            <w:lang w:val="fr-BE"/>
          </w:rPr>
          <w:t>5.2.2</w:t>
        </w:r>
        <w:r>
          <w:rPr>
            <w:rFonts w:eastAsiaTheme="minorEastAsia"/>
            <w:noProof/>
            <w:lang w:val="en-BE" w:eastAsia="en-BE"/>
          </w:rPr>
          <w:tab/>
        </w:r>
        <w:r w:rsidRPr="00785F76">
          <w:rPr>
            <w:rStyle w:val="Hyperlink"/>
            <w:noProof/>
            <w:lang w:val="fr-BE"/>
          </w:rPr>
          <w:t>Différentes réponses possibles</w:t>
        </w:r>
        <w:r>
          <w:rPr>
            <w:noProof/>
            <w:webHidden/>
          </w:rPr>
          <w:tab/>
        </w:r>
        <w:r>
          <w:rPr>
            <w:noProof/>
            <w:webHidden/>
          </w:rPr>
          <w:fldChar w:fldCharType="begin"/>
        </w:r>
        <w:r>
          <w:rPr>
            <w:noProof/>
            <w:webHidden/>
          </w:rPr>
          <w:instrText xml:space="preserve"> PAGEREF _Toc115962334 \h </w:instrText>
        </w:r>
        <w:r>
          <w:rPr>
            <w:noProof/>
            <w:webHidden/>
          </w:rPr>
        </w:r>
        <w:r>
          <w:rPr>
            <w:noProof/>
            <w:webHidden/>
          </w:rPr>
          <w:fldChar w:fldCharType="separate"/>
        </w:r>
        <w:r>
          <w:rPr>
            <w:noProof/>
            <w:webHidden/>
          </w:rPr>
          <w:t>7</w:t>
        </w:r>
        <w:r>
          <w:rPr>
            <w:noProof/>
            <w:webHidden/>
          </w:rPr>
          <w:fldChar w:fldCharType="end"/>
        </w:r>
      </w:hyperlink>
    </w:p>
    <w:p w14:paraId="76C9EE67" w14:textId="0B2E95D3" w:rsidR="00C41B3A" w:rsidRDefault="00C41B3A">
      <w:pPr>
        <w:pStyle w:val="TOC1"/>
        <w:tabs>
          <w:tab w:val="left" w:pos="403"/>
          <w:tab w:val="right" w:leader="dot" w:pos="9628"/>
        </w:tabs>
        <w:rPr>
          <w:rFonts w:eastAsiaTheme="minorEastAsia"/>
          <w:b w:val="0"/>
          <w:noProof/>
          <w:lang w:val="en-BE" w:eastAsia="en-BE"/>
        </w:rPr>
      </w:pPr>
      <w:hyperlink w:anchor="_Toc115962335" w:history="1">
        <w:r w:rsidRPr="00785F76">
          <w:rPr>
            <w:rStyle w:val="Hyperlink"/>
            <w:noProof/>
            <w:lang w:val="fr-BE"/>
          </w:rPr>
          <w:t>6</w:t>
        </w:r>
        <w:r>
          <w:rPr>
            <w:rFonts w:eastAsiaTheme="minorEastAsia"/>
            <w:b w:val="0"/>
            <w:noProof/>
            <w:lang w:val="en-BE" w:eastAsia="en-BE"/>
          </w:rPr>
          <w:tab/>
        </w:r>
        <w:r w:rsidRPr="00785F76">
          <w:rPr>
            <w:rStyle w:val="Hyperlink"/>
            <w:noProof/>
            <w:lang w:val="fr-BE"/>
          </w:rPr>
          <w:t>Concertation collective facultative (art. 13)</w:t>
        </w:r>
        <w:r>
          <w:rPr>
            <w:noProof/>
            <w:webHidden/>
          </w:rPr>
          <w:tab/>
        </w:r>
        <w:r>
          <w:rPr>
            <w:noProof/>
            <w:webHidden/>
          </w:rPr>
          <w:fldChar w:fldCharType="begin"/>
        </w:r>
        <w:r>
          <w:rPr>
            <w:noProof/>
            <w:webHidden/>
          </w:rPr>
          <w:instrText xml:space="preserve"> PAGEREF _Toc115962335 \h </w:instrText>
        </w:r>
        <w:r>
          <w:rPr>
            <w:noProof/>
            <w:webHidden/>
          </w:rPr>
        </w:r>
        <w:r>
          <w:rPr>
            <w:noProof/>
            <w:webHidden/>
          </w:rPr>
          <w:fldChar w:fldCharType="separate"/>
        </w:r>
        <w:r>
          <w:rPr>
            <w:noProof/>
            <w:webHidden/>
          </w:rPr>
          <w:t>9</w:t>
        </w:r>
        <w:r>
          <w:rPr>
            <w:noProof/>
            <w:webHidden/>
          </w:rPr>
          <w:fldChar w:fldCharType="end"/>
        </w:r>
      </w:hyperlink>
    </w:p>
    <w:p w14:paraId="3BCBDBF5" w14:textId="72CDD530" w:rsidR="00C41B3A" w:rsidRDefault="00C41B3A">
      <w:pPr>
        <w:pStyle w:val="TOC1"/>
        <w:tabs>
          <w:tab w:val="left" w:pos="403"/>
          <w:tab w:val="right" w:leader="dot" w:pos="9628"/>
        </w:tabs>
        <w:rPr>
          <w:rFonts w:eastAsiaTheme="minorEastAsia"/>
          <w:b w:val="0"/>
          <w:noProof/>
          <w:lang w:val="en-BE" w:eastAsia="en-BE"/>
        </w:rPr>
      </w:pPr>
      <w:hyperlink w:anchor="_Toc115962336" w:history="1">
        <w:r w:rsidRPr="00785F76">
          <w:rPr>
            <w:rStyle w:val="Hyperlink"/>
            <w:noProof/>
            <w:lang w:val="fr-BE"/>
          </w:rPr>
          <w:t>7</w:t>
        </w:r>
        <w:r>
          <w:rPr>
            <w:rFonts w:eastAsiaTheme="minorEastAsia"/>
            <w:b w:val="0"/>
            <w:noProof/>
            <w:lang w:val="en-BE" w:eastAsia="en-BE"/>
          </w:rPr>
          <w:tab/>
        </w:r>
        <w:r w:rsidRPr="00785F76">
          <w:rPr>
            <w:rStyle w:val="Hyperlink"/>
            <w:noProof/>
            <w:lang w:val="fr-BE"/>
          </w:rPr>
          <w:t>Garanties de l’exercice du droit (art. 14 à 17)</w:t>
        </w:r>
        <w:r>
          <w:rPr>
            <w:noProof/>
            <w:webHidden/>
          </w:rPr>
          <w:tab/>
        </w:r>
        <w:r>
          <w:rPr>
            <w:noProof/>
            <w:webHidden/>
          </w:rPr>
          <w:fldChar w:fldCharType="begin"/>
        </w:r>
        <w:r>
          <w:rPr>
            <w:noProof/>
            <w:webHidden/>
          </w:rPr>
          <w:instrText xml:space="preserve"> PAGEREF _Toc115962336 \h </w:instrText>
        </w:r>
        <w:r>
          <w:rPr>
            <w:noProof/>
            <w:webHidden/>
          </w:rPr>
        </w:r>
        <w:r>
          <w:rPr>
            <w:noProof/>
            <w:webHidden/>
          </w:rPr>
          <w:fldChar w:fldCharType="separate"/>
        </w:r>
        <w:r>
          <w:rPr>
            <w:noProof/>
            <w:webHidden/>
          </w:rPr>
          <w:t>9</w:t>
        </w:r>
        <w:r>
          <w:rPr>
            <w:noProof/>
            <w:webHidden/>
          </w:rPr>
          <w:fldChar w:fldCharType="end"/>
        </w:r>
      </w:hyperlink>
    </w:p>
    <w:p w14:paraId="16C20745" w14:textId="362DA0DE" w:rsidR="00C41B3A" w:rsidRDefault="00C41B3A">
      <w:pPr>
        <w:pStyle w:val="TOC2"/>
        <w:tabs>
          <w:tab w:val="left" w:pos="880"/>
          <w:tab w:val="right" w:leader="dot" w:pos="9628"/>
        </w:tabs>
        <w:rPr>
          <w:rFonts w:eastAsiaTheme="minorEastAsia"/>
          <w:noProof/>
          <w:lang w:val="en-BE" w:eastAsia="en-BE"/>
        </w:rPr>
      </w:pPr>
      <w:hyperlink w:anchor="_Toc115962337" w:history="1">
        <w:r w:rsidRPr="00785F76">
          <w:rPr>
            <w:rStyle w:val="Hyperlink"/>
            <w:noProof/>
            <w:lang w:val="fr-BE"/>
          </w:rPr>
          <w:t>7.1</w:t>
        </w:r>
        <w:r>
          <w:rPr>
            <w:rFonts w:eastAsiaTheme="minorEastAsia"/>
            <w:noProof/>
            <w:lang w:val="en-BE" w:eastAsia="en-BE"/>
          </w:rPr>
          <w:tab/>
        </w:r>
        <w:r w:rsidRPr="00785F76">
          <w:rPr>
            <w:rStyle w:val="Hyperlink"/>
            <w:noProof/>
            <w:lang w:val="fr-BE"/>
          </w:rPr>
          <w:t>Protections contre tout traitement défavorable et contre le licenciement : dispositions communes</w:t>
        </w:r>
        <w:r>
          <w:rPr>
            <w:noProof/>
            <w:webHidden/>
          </w:rPr>
          <w:tab/>
        </w:r>
        <w:r>
          <w:rPr>
            <w:noProof/>
            <w:webHidden/>
          </w:rPr>
          <w:fldChar w:fldCharType="begin"/>
        </w:r>
        <w:r>
          <w:rPr>
            <w:noProof/>
            <w:webHidden/>
          </w:rPr>
          <w:instrText xml:space="preserve"> PAGEREF _Toc115962337 \h </w:instrText>
        </w:r>
        <w:r>
          <w:rPr>
            <w:noProof/>
            <w:webHidden/>
          </w:rPr>
        </w:r>
        <w:r>
          <w:rPr>
            <w:noProof/>
            <w:webHidden/>
          </w:rPr>
          <w:fldChar w:fldCharType="separate"/>
        </w:r>
        <w:r>
          <w:rPr>
            <w:noProof/>
            <w:webHidden/>
          </w:rPr>
          <w:t>9</w:t>
        </w:r>
        <w:r>
          <w:rPr>
            <w:noProof/>
            <w:webHidden/>
          </w:rPr>
          <w:fldChar w:fldCharType="end"/>
        </w:r>
      </w:hyperlink>
    </w:p>
    <w:p w14:paraId="2C9D9D90" w14:textId="2FAC122C" w:rsidR="00C41B3A" w:rsidRDefault="00C41B3A">
      <w:pPr>
        <w:pStyle w:val="TOC3"/>
        <w:tabs>
          <w:tab w:val="left" w:pos="1100"/>
          <w:tab w:val="right" w:leader="dot" w:pos="9628"/>
        </w:tabs>
        <w:rPr>
          <w:rFonts w:eastAsiaTheme="minorEastAsia"/>
          <w:noProof/>
          <w:lang w:val="en-BE" w:eastAsia="en-BE"/>
        </w:rPr>
      </w:pPr>
      <w:hyperlink w:anchor="_Toc115962338" w:history="1">
        <w:r w:rsidRPr="00785F76">
          <w:rPr>
            <w:rStyle w:val="Hyperlink"/>
            <w:noProof/>
            <w:lang w:val="fr-BE"/>
          </w:rPr>
          <w:t>7.1.1</w:t>
        </w:r>
        <w:r>
          <w:rPr>
            <w:rFonts w:eastAsiaTheme="minorEastAsia"/>
            <w:noProof/>
            <w:lang w:val="en-BE" w:eastAsia="en-BE"/>
          </w:rPr>
          <w:tab/>
        </w:r>
        <w:r w:rsidRPr="00785F76">
          <w:rPr>
            <w:rStyle w:val="Hyperlink"/>
            <w:noProof/>
            <w:lang w:val="fr-BE"/>
          </w:rPr>
          <w:t>Principe</w:t>
        </w:r>
        <w:r>
          <w:rPr>
            <w:noProof/>
            <w:webHidden/>
          </w:rPr>
          <w:tab/>
        </w:r>
        <w:r>
          <w:rPr>
            <w:noProof/>
            <w:webHidden/>
          </w:rPr>
          <w:fldChar w:fldCharType="begin"/>
        </w:r>
        <w:r>
          <w:rPr>
            <w:noProof/>
            <w:webHidden/>
          </w:rPr>
          <w:instrText xml:space="preserve"> PAGEREF _Toc115962338 \h </w:instrText>
        </w:r>
        <w:r>
          <w:rPr>
            <w:noProof/>
            <w:webHidden/>
          </w:rPr>
        </w:r>
        <w:r>
          <w:rPr>
            <w:noProof/>
            <w:webHidden/>
          </w:rPr>
          <w:fldChar w:fldCharType="separate"/>
        </w:r>
        <w:r>
          <w:rPr>
            <w:noProof/>
            <w:webHidden/>
          </w:rPr>
          <w:t>9</w:t>
        </w:r>
        <w:r>
          <w:rPr>
            <w:noProof/>
            <w:webHidden/>
          </w:rPr>
          <w:fldChar w:fldCharType="end"/>
        </w:r>
      </w:hyperlink>
    </w:p>
    <w:p w14:paraId="35B25955" w14:textId="18EA5581" w:rsidR="00C41B3A" w:rsidRDefault="00C41B3A">
      <w:pPr>
        <w:pStyle w:val="TOC3"/>
        <w:tabs>
          <w:tab w:val="left" w:pos="1100"/>
          <w:tab w:val="right" w:leader="dot" w:pos="9628"/>
        </w:tabs>
        <w:rPr>
          <w:rFonts w:eastAsiaTheme="minorEastAsia"/>
          <w:noProof/>
          <w:lang w:val="en-BE" w:eastAsia="en-BE"/>
        </w:rPr>
      </w:pPr>
      <w:hyperlink w:anchor="_Toc115962339" w:history="1">
        <w:r w:rsidRPr="00785F76">
          <w:rPr>
            <w:rStyle w:val="Hyperlink"/>
            <w:noProof/>
            <w:lang w:val="fr-BE"/>
          </w:rPr>
          <w:t>7.1.2</w:t>
        </w:r>
        <w:r>
          <w:rPr>
            <w:rFonts w:eastAsiaTheme="minorEastAsia"/>
            <w:noProof/>
            <w:lang w:val="en-BE" w:eastAsia="en-BE"/>
          </w:rPr>
          <w:tab/>
        </w:r>
        <w:r w:rsidRPr="00785F76">
          <w:rPr>
            <w:rStyle w:val="Hyperlink"/>
            <w:noProof/>
            <w:lang w:val="fr-BE"/>
          </w:rPr>
          <w:t>Période de protection</w:t>
        </w:r>
        <w:r>
          <w:rPr>
            <w:noProof/>
            <w:webHidden/>
          </w:rPr>
          <w:tab/>
        </w:r>
        <w:r>
          <w:rPr>
            <w:noProof/>
            <w:webHidden/>
          </w:rPr>
          <w:fldChar w:fldCharType="begin"/>
        </w:r>
        <w:r>
          <w:rPr>
            <w:noProof/>
            <w:webHidden/>
          </w:rPr>
          <w:instrText xml:space="preserve"> PAGEREF _Toc115962339 \h </w:instrText>
        </w:r>
        <w:r>
          <w:rPr>
            <w:noProof/>
            <w:webHidden/>
          </w:rPr>
        </w:r>
        <w:r>
          <w:rPr>
            <w:noProof/>
            <w:webHidden/>
          </w:rPr>
          <w:fldChar w:fldCharType="separate"/>
        </w:r>
        <w:r>
          <w:rPr>
            <w:noProof/>
            <w:webHidden/>
          </w:rPr>
          <w:t>9</w:t>
        </w:r>
        <w:r>
          <w:rPr>
            <w:noProof/>
            <w:webHidden/>
          </w:rPr>
          <w:fldChar w:fldCharType="end"/>
        </w:r>
      </w:hyperlink>
    </w:p>
    <w:p w14:paraId="1619D850" w14:textId="2A47371C" w:rsidR="00C41B3A" w:rsidRDefault="00C41B3A">
      <w:pPr>
        <w:pStyle w:val="TOC3"/>
        <w:tabs>
          <w:tab w:val="left" w:pos="1100"/>
          <w:tab w:val="right" w:leader="dot" w:pos="9628"/>
        </w:tabs>
        <w:rPr>
          <w:rFonts w:eastAsiaTheme="minorEastAsia"/>
          <w:noProof/>
          <w:lang w:val="en-BE" w:eastAsia="en-BE"/>
        </w:rPr>
      </w:pPr>
      <w:hyperlink w:anchor="_Toc115962340" w:history="1">
        <w:r w:rsidRPr="00785F76">
          <w:rPr>
            <w:rStyle w:val="Hyperlink"/>
            <w:noProof/>
            <w:lang w:val="fr-BE"/>
          </w:rPr>
          <w:t>7.1.3</w:t>
        </w:r>
        <w:r>
          <w:rPr>
            <w:rFonts w:eastAsiaTheme="minorEastAsia"/>
            <w:noProof/>
            <w:lang w:val="en-BE" w:eastAsia="en-BE"/>
          </w:rPr>
          <w:tab/>
        </w:r>
        <w:r w:rsidRPr="00785F76">
          <w:rPr>
            <w:rStyle w:val="Hyperlink"/>
            <w:noProof/>
            <w:lang w:val="fr-BE"/>
          </w:rPr>
          <w:t>Mécanisme de protection</w:t>
        </w:r>
        <w:r>
          <w:rPr>
            <w:noProof/>
            <w:webHidden/>
          </w:rPr>
          <w:tab/>
        </w:r>
        <w:r>
          <w:rPr>
            <w:noProof/>
            <w:webHidden/>
          </w:rPr>
          <w:fldChar w:fldCharType="begin"/>
        </w:r>
        <w:r>
          <w:rPr>
            <w:noProof/>
            <w:webHidden/>
          </w:rPr>
          <w:instrText xml:space="preserve"> PAGEREF _Toc115962340 \h </w:instrText>
        </w:r>
        <w:r>
          <w:rPr>
            <w:noProof/>
            <w:webHidden/>
          </w:rPr>
        </w:r>
        <w:r>
          <w:rPr>
            <w:noProof/>
            <w:webHidden/>
          </w:rPr>
          <w:fldChar w:fldCharType="separate"/>
        </w:r>
        <w:r>
          <w:rPr>
            <w:noProof/>
            <w:webHidden/>
          </w:rPr>
          <w:t>9</w:t>
        </w:r>
        <w:r>
          <w:rPr>
            <w:noProof/>
            <w:webHidden/>
          </w:rPr>
          <w:fldChar w:fldCharType="end"/>
        </w:r>
      </w:hyperlink>
    </w:p>
    <w:p w14:paraId="788C4502" w14:textId="736AB1D1" w:rsidR="00C41B3A" w:rsidRDefault="00C41B3A">
      <w:pPr>
        <w:pStyle w:val="TOC2"/>
        <w:tabs>
          <w:tab w:val="left" w:pos="880"/>
          <w:tab w:val="right" w:leader="dot" w:pos="9628"/>
        </w:tabs>
        <w:rPr>
          <w:rFonts w:eastAsiaTheme="minorEastAsia"/>
          <w:noProof/>
          <w:lang w:val="en-BE" w:eastAsia="en-BE"/>
        </w:rPr>
      </w:pPr>
      <w:hyperlink w:anchor="_Toc115962341" w:history="1">
        <w:r w:rsidRPr="00785F76">
          <w:rPr>
            <w:rStyle w:val="Hyperlink"/>
            <w:noProof/>
            <w:lang w:val="fr-BE"/>
          </w:rPr>
          <w:t>7.2</w:t>
        </w:r>
        <w:r>
          <w:rPr>
            <w:rFonts w:eastAsiaTheme="minorEastAsia"/>
            <w:noProof/>
            <w:lang w:val="en-BE" w:eastAsia="en-BE"/>
          </w:rPr>
          <w:tab/>
        </w:r>
        <w:r w:rsidRPr="00785F76">
          <w:rPr>
            <w:rStyle w:val="Hyperlink"/>
            <w:noProof/>
            <w:lang w:val="fr-BE"/>
          </w:rPr>
          <w:t>Protection contre tout traitement défavorable</w:t>
        </w:r>
        <w:r>
          <w:rPr>
            <w:noProof/>
            <w:webHidden/>
          </w:rPr>
          <w:tab/>
        </w:r>
        <w:r>
          <w:rPr>
            <w:noProof/>
            <w:webHidden/>
          </w:rPr>
          <w:fldChar w:fldCharType="begin"/>
        </w:r>
        <w:r>
          <w:rPr>
            <w:noProof/>
            <w:webHidden/>
          </w:rPr>
          <w:instrText xml:space="preserve"> PAGEREF _Toc115962341 \h </w:instrText>
        </w:r>
        <w:r>
          <w:rPr>
            <w:noProof/>
            <w:webHidden/>
          </w:rPr>
        </w:r>
        <w:r>
          <w:rPr>
            <w:noProof/>
            <w:webHidden/>
          </w:rPr>
          <w:fldChar w:fldCharType="separate"/>
        </w:r>
        <w:r>
          <w:rPr>
            <w:noProof/>
            <w:webHidden/>
          </w:rPr>
          <w:t>10</w:t>
        </w:r>
        <w:r>
          <w:rPr>
            <w:noProof/>
            <w:webHidden/>
          </w:rPr>
          <w:fldChar w:fldCharType="end"/>
        </w:r>
      </w:hyperlink>
    </w:p>
    <w:p w14:paraId="384056A9" w14:textId="6FF8C702" w:rsidR="00C41B3A" w:rsidRDefault="00C41B3A">
      <w:pPr>
        <w:pStyle w:val="TOC3"/>
        <w:tabs>
          <w:tab w:val="left" w:pos="1100"/>
          <w:tab w:val="right" w:leader="dot" w:pos="9628"/>
        </w:tabs>
        <w:rPr>
          <w:rFonts w:eastAsiaTheme="minorEastAsia"/>
          <w:noProof/>
          <w:lang w:val="en-BE" w:eastAsia="en-BE"/>
        </w:rPr>
      </w:pPr>
      <w:hyperlink w:anchor="_Toc115962342" w:history="1">
        <w:r w:rsidRPr="00785F76">
          <w:rPr>
            <w:rStyle w:val="Hyperlink"/>
            <w:noProof/>
            <w:lang w:val="fr-BE"/>
          </w:rPr>
          <w:t>7.2.1</w:t>
        </w:r>
        <w:r>
          <w:rPr>
            <w:rFonts w:eastAsiaTheme="minorEastAsia"/>
            <w:noProof/>
            <w:lang w:val="en-BE" w:eastAsia="en-BE"/>
          </w:rPr>
          <w:tab/>
        </w:r>
        <w:r w:rsidRPr="00785F76">
          <w:rPr>
            <w:rStyle w:val="Hyperlink"/>
            <w:noProof/>
            <w:lang w:val="fr-BE"/>
          </w:rPr>
          <w:t>Traitements défavorables (art. 14)</w:t>
        </w:r>
        <w:r>
          <w:rPr>
            <w:noProof/>
            <w:webHidden/>
          </w:rPr>
          <w:tab/>
        </w:r>
        <w:r>
          <w:rPr>
            <w:noProof/>
            <w:webHidden/>
          </w:rPr>
          <w:fldChar w:fldCharType="begin"/>
        </w:r>
        <w:r>
          <w:rPr>
            <w:noProof/>
            <w:webHidden/>
          </w:rPr>
          <w:instrText xml:space="preserve"> PAGEREF _Toc115962342 \h </w:instrText>
        </w:r>
        <w:r>
          <w:rPr>
            <w:noProof/>
            <w:webHidden/>
          </w:rPr>
        </w:r>
        <w:r>
          <w:rPr>
            <w:noProof/>
            <w:webHidden/>
          </w:rPr>
          <w:fldChar w:fldCharType="separate"/>
        </w:r>
        <w:r>
          <w:rPr>
            <w:noProof/>
            <w:webHidden/>
          </w:rPr>
          <w:t>10</w:t>
        </w:r>
        <w:r>
          <w:rPr>
            <w:noProof/>
            <w:webHidden/>
          </w:rPr>
          <w:fldChar w:fldCharType="end"/>
        </w:r>
      </w:hyperlink>
    </w:p>
    <w:p w14:paraId="174971D4" w14:textId="66708E96" w:rsidR="00C41B3A" w:rsidRDefault="00C41B3A">
      <w:pPr>
        <w:pStyle w:val="TOC3"/>
        <w:tabs>
          <w:tab w:val="left" w:pos="1100"/>
          <w:tab w:val="right" w:leader="dot" w:pos="9628"/>
        </w:tabs>
        <w:rPr>
          <w:rFonts w:eastAsiaTheme="minorEastAsia"/>
          <w:noProof/>
          <w:lang w:val="en-BE" w:eastAsia="en-BE"/>
        </w:rPr>
      </w:pPr>
      <w:hyperlink w:anchor="_Toc115962343" w:history="1">
        <w:r w:rsidRPr="00785F76">
          <w:rPr>
            <w:rStyle w:val="Hyperlink"/>
            <w:noProof/>
            <w:lang w:val="fr-BE"/>
          </w:rPr>
          <w:t>7.2.2</w:t>
        </w:r>
        <w:r>
          <w:rPr>
            <w:rFonts w:eastAsiaTheme="minorEastAsia"/>
            <w:noProof/>
            <w:lang w:val="en-BE" w:eastAsia="en-BE"/>
          </w:rPr>
          <w:tab/>
        </w:r>
        <w:r w:rsidRPr="00785F76">
          <w:rPr>
            <w:rStyle w:val="Hyperlink"/>
            <w:noProof/>
            <w:lang w:val="fr-BE"/>
          </w:rPr>
          <w:t>Contrat à durée déterminée non-renouvelé (art. 15)</w:t>
        </w:r>
        <w:r>
          <w:rPr>
            <w:noProof/>
            <w:webHidden/>
          </w:rPr>
          <w:tab/>
        </w:r>
        <w:r>
          <w:rPr>
            <w:noProof/>
            <w:webHidden/>
          </w:rPr>
          <w:fldChar w:fldCharType="begin"/>
        </w:r>
        <w:r>
          <w:rPr>
            <w:noProof/>
            <w:webHidden/>
          </w:rPr>
          <w:instrText xml:space="preserve"> PAGEREF _Toc115962343 \h </w:instrText>
        </w:r>
        <w:r>
          <w:rPr>
            <w:noProof/>
            <w:webHidden/>
          </w:rPr>
        </w:r>
        <w:r>
          <w:rPr>
            <w:noProof/>
            <w:webHidden/>
          </w:rPr>
          <w:fldChar w:fldCharType="separate"/>
        </w:r>
        <w:r>
          <w:rPr>
            <w:noProof/>
            <w:webHidden/>
          </w:rPr>
          <w:t>11</w:t>
        </w:r>
        <w:r>
          <w:rPr>
            <w:noProof/>
            <w:webHidden/>
          </w:rPr>
          <w:fldChar w:fldCharType="end"/>
        </w:r>
      </w:hyperlink>
    </w:p>
    <w:p w14:paraId="77A0A316" w14:textId="0DB59145" w:rsidR="00C41B3A" w:rsidRDefault="00C41B3A">
      <w:pPr>
        <w:pStyle w:val="TOC3"/>
        <w:tabs>
          <w:tab w:val="left" w:pos="1100"/>
          <w:tab w:val="right" w:leader="dot" w:pos="9628"/>
        </w:tabs>
        <w:rPr>
          <w:rFonts w:eastAsiaTheme="minorEastAsia"/>
          <w:noProof/>
          <w:lang w:val="en-BE" w:eastAsia="en-BE"/>
        </w:rPr>
      </w:pPr>
      <w:hyperlink w:anchor="_Toc115962344" w:history="1">
        <w:r w:rsidRPr="00785F76">
          <w:rPr>
            <w:rStyle w:val="Hyperlink"/>
            <w:noProof/>
            <w:lang w:val="fr-BE"/>
          </w:rPr>
          <w:t>7.2.3</w:t>
        </w:r>
        <w:r>
          <w:rPr>
            <w:rFonts w:eastAsiaTheme="minorEastAsia"/>
            <w:noProof/>
            <w:lang w:val="en-BE" w:eastAsia="en-BE"/>
          </w:rPr>
          <w:tab/>
        </w:r>
        <w:r w:rsidRPr="00785F76">
          <w:rPr>
            <w:rStyle w:val="Hyperlink"/>
            <w:noProof/>
            <w:lang w:val="fr-BE"/>
          </w:rPr>
          <w:t>Indemnisation (art. 14 §4 et 17)</w:t>
        </w:r>
        <w:r>
          <w:rPr>
            <w:noProof/>
            <w:webHidden/>
          </w:rPr>
          <w:tab/>
        </w:r>
        <w:r>
          <w:rPr>
            <w:noProof/>
            <w:webHidden/>
          </w:rPr>
          <w:fldChar w:fldCharType="begin"/>
        </w:r>
        <w:r>
          <w:rPr>
            <w:noProof/>
            <w:webHidden/>
          </w:rPr>
          <w:instrText xml:space="preserve"> PAGEREF _Toc115962344 \h </w:instrText>
        </w:r>
        <w:r>
          <w:rPr>
            <w:noProof/>
            <w:webHidden/>
          </w:rPr>
        </w:r>
        <w:r>
          <w:rPr>
            <w:noProof/>
            <w:webHidden/>
          </w:rPr>
          <w:fldChar w:fldCharType="separate"/>
        </w:r>
        <w:r>
          <w:rPr>
            <w:noProof/>
            <w:webHidden/>
          </w:rPr>
          <w:t>12</w:t>
        </w:r>
        <w:r>
          <w:rPr>
            <w:noProof/>
            <w:webHidden/>
          </w:rPr>
          <w:fldChar w:fldCharType="end"/>
        </w:r>
      </w:hyperlink>
    </w:p>
    <w:p w14:paraId="689D715C" w14:textId="74CF08B4" w:rsidR="00C41B3A" w:rsidRDefault="00C41B3A">
      <w:pPr>
        <w:pStyle w:val="TOC2"/>
        <w:tabs>
          <w:tab w:val="left" w:pos="880"/>
          <w:tab w:val="right" w:leader="dot" w:pos="9628"/>
        </w:tabs>
        <w:rPr>
          <w:rFonts w:eastAsiaTheme="minorEastAsia"/>
          <w:noProof/>
          <w:lang w:val="en-BE" w:eastAsia="en-BE"/>
        </w:rPr>
      </w:pPr>
      <w:hyperlink w:anchor="_Toc115962345" w:history="1">
        <w:r w:rsidRPr="00785F76">
          <w:rPr>
            <w:rStyle w:val="Hyperlink"/>
            <w:noProof/>
            <w:lang w:val="fr-BE"/>
          </w:rPr>
          <w:t>7.3</w:t>
        </w:r>
        <w:r>
          <w:rPr>
            <w:rFonts w:eastAsiaTheme="minorEastAsia"/>
            <w:noProof/>
            <w:lang w:val="en-BE" w:eastAsia="en-BE"/>
          </w:rPr>
          <w:tab/>
        </w:r>
        <w:r w:rsidRPr="00785F76">
          <w:rPr>
            <w:rStyle w:val="Hyperlink"/>
            <w:noProof/>
            <w:lang w:val="fr-BE"/>
          </w:rPr>
          <w:t>Protection contre le licenciement</w:t>
        </w:r>
        <w:r>
          <w:rPr>
            <w:noProof/>
            <w:webHidden/>
          </w:rPr>
          <w:tab/>
        </w:r>
        <w:r>
          <w:rPr>
            <w:noProof/>
            <w:webHidden/>
          </w:rPr>
          <w:fldChar w:fldCharType="begin"/>
        </w:r>
        <w:r>
          <w:rPr>
            <w:noProof/>
            <w:webHidden/>
          </w:rPr>
          <w:instrText xml:space="preserve"> PAGEREF _Toc115962345 \h </w:instrText>
        </w:r>
        <w:r>
          <w:rPr>
            <w:noProof/>
            <w:webHidden/>
          </w:rPr>
        </w:r>
        <w:r>
          <w:rPr>
            <w:noProof/>
            <w:webHidden/>
          </w:rPr>
          <w:fldChar w:fldCharType="separate"/>
        </w:r>
        <w:r>
          <w:rPr>
            <w:noProof/>
            <w:webHidden/>
          </w:rPr>
          <w:t>12</w:t>
        </w:r>
        <w:r>
          <w:rPr>
            <w:noProof/>
            <w:webHidden/>
          </w:rPr>
          <w:fldChar w:fldCharType="end"/>
        </w:r>
      </w:hyperlink>
    </w:p>
    <w:p w14:paraId="7B12C5B0" w14:textId="1B60F6C1" w:rsidR="00C41B3A" w:rsidRDefault="00C41B3A">
      <w:pPr>
        <w:pStyle w:val="TOC3"/>
        <w:tabs>
          <w:tab w:val="left" w:pos="1100"/>
          <w:tab w:val="right" w:leader="dot" w:pos="9628"/>
        </w:tabs>
        <w:rPr>
          <w:rFonts w:eastAsiaTheme="minorEastAsia"/>
          <w:noProof/>
          <w:lang w:val="en-BE" w:eastAsia="en-BE"/>
        </w:rPr>
      </w:pPr>
      <w:hyperlink w:anchor="_Toc115962346" w:history="1">
        <w:r w:rsidRPr="00785F76">
          <w:rPr>
            <w:rStyle w:val="Hyperlink"/>
            <w:noProof/>
            <w:lang w:val="fr-BE"/>
          </w:rPr>
          <w:t>7.3.1</w:t>
        </w:r>
        <w:r>
          <w:rPr>
            <w:rFonts w:eastAsiaTheme="minorEastAsia"/>
            <w:noProof/>
            <w:lang w:val="en-BE" w:eastAsia="en-BE"/>
          </w:rPr>
          <w:tab/>
        </w:r>
        <w:r w:rsidRPr="00785F76">
          <w:rPr>
            <w:rStyle w:val="Hyperlink"/>
            <w:noProof/>
            <w:lang w:val="fr-BE"/>
          </w:rPr>
          <w:t>Rappel du principe (art. 16)</w:t>
        </w:r>
        <w:r>
          <w:rPr>
            <w:noProof/>
            <w:webHidden/>
          </w:rPr>
          <w:tab/>
        </w:r>
        <w:r>
          <w:rPr>
            <w:noProof/>
            <w:webHidden/>
          </w:rPr>
          <w:fldChar w:fldCharType="begin"/>
        </w:r>
        <w:r>
          <w:rPr>
            <w:noProof/>
            <w:webHidden/>
          </w:rPr>
          <w:instrText xml:space="preserve"> PAGEREF _Toc115962346 \h </w:instrText>
        </w:r>
        <w:r>
          <w:rPr>
            <w:noProof/>
            <w:webHidden/>
          </w:rPr>
        </w:r>
        <w:r>
          <w:rPr>
            <w:noProof/>
            <w:webHidden/>
          </w:rPr>
          <w:fldChar w:fldCharType="separate"/>
        </w:r>
        <w:r>
          <w:rPr>
            <w:noProof/>
            <w:webHidden/>
          </w:rPr>
          <w:t>12</w:t>
        </w:r>
        <w:r>
          <w:rPr>
            <w:noProof/>
            <w:webHidden/>
          </w:rPr>
          <w:fldChar w:fldCharType="end"/>
        </w:r>
      </w:hyperlink>
    </w:p>
    <w:p w14:paraId="1A36E707" w14:textId="6D77DAE7" w:rsidR="00C41B3A" w:rsidRDefault="00C41B3A">
      <w:pPr>
        <w:pStyle w:val="TOC3"/>
        <w:tabs>
          <w:tab w:val="left" w:pos="1100"/>
          <w:tab w:val="right" w:leader="dot" w:pos="9628"/>
        </w:tabs>
        <w:rPr>
          <w:rFonts w:eastAsiaTheme="minorEastAsia"/>
          <w:noProof/>
          <w:lang w:val="en-BE" w:eastAsia="en-BE"/>
        </w:rPr>
      </w:pPr>
      <w:hyperlink w:anchor="_Toc115962347" w:history="1">
        <w:r w:rsidRPr="00785F76">
          <w:rPr>
            <w:rStyle w:val="Hyperlink"/>
            <w:noProof/>
            <w:lang w:val="fr-BE"/>
          </w:rPr>
          <w:t>7.3.2</w:t>
        </w:r>
        <w:r>
          <w:rPr>
            <w:rFonts w:eastAsiaTheme="minorEastAsia"/>
            <w:noProof/>
            <w:lang w:val="en-BE" w:eastAsia="en-BE"/>
          </w:rPr>
          <w:tab/>
        </w:r>
        <w:r w:rsidRPr="00785F76">
          <w:rPr>
            <w:rStyle w:val="Hyperlink"/>
            <w:noProof/>
            <w:lang w:val="fr-BE"/>
          </w:rPr>
          <w:t>Indemnisation (art. 16 §4 et 17)</w:t>
        </w:r>
        <w:r>
          <w:rPr>
            <w:noProof/>
            <w:webHidden/>
          </w:rPr>
          <w:tab/>
        </w:r>
        <w:r>
          <w:rPr>
            <w:noProof/>
            <w:webHidden/>
          </w:rPr>
          <w:fldChar w:fldCharType="begin"/>
        </w:r>
        <w:r>
          <w:rPr>
            <w:noProof/>
            <w:webHidden/>
          </w:rPr>
          <w:instrText xml:space="preserve"> PAGEREF _Toc115962347 \h </w:instrText>
        </w:r>
        <w:r>
          <w:rPr>
            <w:noProof/>
            <w:webHidden/>
          </w:rPr>
        </w:r>
        <w:r>
          <w:rPr>
            <w:noProof/>
            <w:webHidden/>
          </w:rPr>
          <w:fldChar w:fldCharType="separate"/>
        </w:r>
        <w:r>
          <w:rPr>
            <w:noProof/>
            <w:webHidden/>
          </w:rPr>
          <w:t>12</w:t>
        </w:r>
        <w:r>
          <w:rPr>
            <w:noProof/>
            <w:webHidden/>
          </w:rPr>
          <w:fldChar w:fldCharType="end"/>
        </w:r>
      </w:hyperlink>
    </w:p>
    <w:p w14:paraId="4749B535" w14:textId="7474D924" w:rsidR="00C41B3A" w:rsidRDefault="00C41B3A">
      <w:pPr>
        <w:pStyle w:val="TOC2"/>
        <w:tabs>
          <w:tab w:val="left" w:pos="880"/>
          <w:tab w:val="right" w:leader="dot" w:pos="9628"/>
        </w:tabs>
        <w:rPr>
          <w:rFonts w:eastAsiaTheme="minorEastAsia"/>
          <w:noProof/>
          <w:lang w:val="en-BE" w:eastAsia="en-BE"/>
        </w:rPr>
      </w:pPr>
      <w:hyperlink w:anchor="_Toc115962348" w:history="1">
        <w:r w:rsidRPr="00785F76">
          <w:rPr>
            <w:rStyle w:val="Hyperlink"/>
            <w:noProof/>
            <w:lang w:val="fr-BE"/>
          </w:rPr>
          <w:t>7.4</w:t>
        </w:r>
        <w:r>
          <w:rPr>
            <w:rFonts w:eastAsiaTheme="minorEastAsia"/>
            <w:noProof/>
            <w:lang w:val="en-BE" w:eastAsia="en-BE"/>
          </w:rPr>
          <w:tab/>
        </w:r>
        <w:r w:rsidRPr="00785F76">
          <w:rPr>
            <w:rStyle w:val="Hyperlink"/>
            <w:noProof/>
            <w:lang w:val="fr-BE"/>
          </w:rPr>
          <w:t>Sanctions pénales</w:t>
        </w:r>
        <w:r>
          <w:rPr>
            <w:noProof/>
            <w:webHidden/>
          </w:rPr>
          <w:tab/>
        </w:r>
        <w:r>
          <w:rPr>
            <w:noProof/>
            <w:webHidden/>
          </w:rPr>
          <w:fldChar w:fldCharType="begin"/>
        </w:r>
        <w:r>
          <w:rPr>
            <w:noProof/>
            <w:webHidden/>
          </w:rPr>
          <w:instrText xml:space="preserve"> PAGEREF _Toc115962348 \h </w:instrText>
        </w:r>
        <w:r>
          <w:rPr>
            <w:noProof/>
            <w:webHidden/>
          </w:rPr>
        </w:r>
        <w:r>
          <w:rPr>
            <w:noProof/>
            <w:webHidden/>
          </w:rPr>
          <w:fldChar w:fldCharType="separate"/>
        </w:r>
        <w:r>
          <w:rPr>
            <w:noProof/>
            <w:webHidden/>
          </w:rPr>
          <w:t>13</w:t>
        </w:r>
        <w:r>
          <w:rPr>
            <w:noProof/>
            <w:webHidden/>
          </w:rPr>
          <w:fldChar w:fldCharType="end"/>
        </w:r>
      </w:hyperlink>
    </w:p>
    <w:p w14:paraId="71B99EE6" w14:textId="572E3BA3" w:rsidR="00C41B3A" w:rsidRDefault="00C41B3A">
      <w:pPr>
        <w:pStyle w:val="TOC1"/>
        <w:tabs>
          <w:tab w:val="left" w:pos="403"/>
          <w:tab w:val="right" w:leader="dot" w:pos="9628"/>
        </w:tabs>
        <w:rPr>
          <w:rFonts w:eastAsiaTheme="minorEastAsia"/>
          <w:b w:val="0"/>
          <w:noProof/>
          <w:lang w:val="en-BE" w:eastAsia="en-BE"/>
        </w:rPr>
      </w:pPr>
      <w:hyperlink w:anchor="_Toc115962349" w:history="1">
        <w:r w:rsidRPr="00785F76">
          <w:rPr>
            <w:rStyle w:val="Hyperlink"/>
            <w:noProof/>
            <w:lang w:val="fr-BE"/>
          </w:rPr>
          <w:t>8</w:t>
        </w:r>
        <w:r>
          <w:rPr>
            <w:rFonts w:eastAsiaTheme="minorEastAsia"/>
            <w:b w:val="0"/>
            <w:noProof/>
            <w:lang w:val="en-BE" w:eastAsia="en-BE"/>
          </w:rPr>
          <w:tab/>
        </w:r>
        <w:r w:rsidRPr="00785F76">
          <w:rPr>
            <w:rStyle w:val="Hyperlink"/>
            <w:noProof/>
            <w:lang w:val="fr-BE"/>
          </w:rPr>
          <w:t>Disposition anti-abus (art. 6 §5)</w:t>
        </w:r>
        <w:r>
          <w:rPr>
            <w:noProof/>
            <w:webHidden/>
          </w:rPr>
          <w:tab/>
        </w:r>
        <w:r>
          <w:rPr>
            <w:noProof/>
            <w:webHidden/>
          </w:rPr>
          <w:fldChar w:fldCharType="begin"/>
        </w:r>
        <w:r>
          <w:rPr>
            <w:noProof/>
            <w:webHidden/>
          </w:rPr>
          <w:instrText xml:space="preserve"> PAGEREF _Toc115962349 \h </w:instrText>
        </w:r>
        <w:r>
          <w:rPr>
            <w:noProof/>
            <w:webHidden/>
          </w:rPr>
        </w:r>
        <w:r>
          <w:rPr>
            <w:noProof/>
            <w:webHidden/>
          </w:rPr>
          <w:fldChar w:fldCharType="separate"/>
        </w:r>
        <w:r>
          <w:rPr>
            <w:noProof/>
            <w:webHidden/>
          </w:rPr>
          <w:t>13</w:t>
        </w:r>
        <w:r>
          <w:rPr>
            <w:noProof/>
            <w:webHidden/>
          </w:rPr>
          <w:fldChar w:fldCharType="end"/>
        </w:r>
      </w:hyperlink>
    </w:p>
    <w:p w14:paraId="7911C5ED" w14:textId="2358BB80" w:rsidR="00C41B3A" w:rsidRDefault="00C41B3A">
      <w:pPr>
        <w:pStyle w:val="TOC1"/>
        <w:tabs>
          <w:tab w:val="left" w:pos="403"/>
          <w:tab w:val="right" w:leader="dot" w:pos="9628"/>
        </w:tabs>
        <w:rPr>
          <w:rFonts w:eastAsiaTheme="minorEastAsia"/>
          <w:b w:val="0"/>
          <w:noProof/>
          <w:lang w:val="en-BE" w:eastAsia="en-BE"/>
        </w:rPr>
      </w:pPr>
      <w:hyperlink w:anchor="_Toc115962350" w:history="1">
        <w:r w:rsidRPr="00785F76">
          <w:rPr>
            <w:rStyle w:val="Hyperlink"/>
            <w:noProof/>
            <w:lang w:val="fr-BE"/>
          </w:rPr>
          <w:t>9</w:t>
        </w:r>
        <w:r>
          <w:rPr>
            <w:rFonts w:eastAsiaTheme="minorEastAsia"/>
            <w:b w:val="0"/>
            <w:noProof/>
            <w:lang w:val="en-BE" w:eastAsia="en-BE"/>
          </w:rPr>
          <w:tab/>
        </w:r>
        <w:r w:rsidRPr="00785F76">
          <w:rPr>
            <w:rStyle w:val="Hyperlink"/>
            <w:noProof/>
            <w:lang w:val="fr-BE"/>
          </w:rPr>
          <w:t>Entrée en vigueur (art. 18)</w:t>
        </w:r>
        <w:r>
          <w:rPr>
            <w:noProof/>
            <w:webHidden/>
          </w:rPr>
          <w:tab/>
        </w:r>
        <w:r>
          <w:rPr>
            <w:noProof/>
            <w:webHidden/>
          </w:rPr>
          <w:fldChar w:fldCharType="begin"/>
        </w:r>
        <w:r>
          <w:rPr>
            <w:noProof/>
            <w:webHidden/>
          </w:rPr>
          <w:instrText xml:space="preserve"> PAGEREF _Toc115962350 \h </w:instrText>
        </w:r>
        <w:r>
          <w:rPr>
            <w:noProof/>
            <w:webHidden/>
          </w:rPr>
        </w:r>
        <w:r>
          <w:rPr>
            <w:noProof/>
            <w:webHidden/>
          </w:rPr>
          <w:fldChar w:fldCharType="separate"/>
        </w:r>
        <w:r>
          <w:rPr>
            <w:noProof/>
            <w:webHidden/>
          </w:rPr>
          <w:t>13</w:t>
        </w:r>
        <w:r>
          <w:rPr>
            <w:noProof/>
            <w:webHidden/>
          </w:rPr>
          <w:fldChar w:fldCharType="end"/>
        </w:r>
      </w:hyperlink>
    </w:p>
    <w:p w14:paraId="4D2A6A46" w14:textId="39E3165A" w:rsidR="00EB5B2E" w:rsidRDefault="00EB5B2E" w:rsidP="00D53B8E">
      <w:pPr>
        <w:rPr>
          <w:rFonts w:asciiTheme="majorHAnsi" w:eastAsiaTheme="majorEastAsia" w:hAnsiTheme="majorHAnsi" w:cstheme="majorBidi"/>
          <w:b/>
          <w:color w:val="4682BE" w:themeColor="text1"/>
          <w:sz w:val="32"/>
          <w:szCs w:val="32"/>
          <w:lang w:val="fr-BE"/>
        </w:rPr>
      </w:pPr>
      <w:r>
        <w:rPr>
          <w:lang w:val="fr-BE"/>
        </w:rPr>
        <w:fldChar w:fldCharType="end"/>
      </w:r>
      <w:r>
        <w:rPr>
          <w:lang w:val="fr-BE"/>
        </w:rPr>
        <w:br w:type="page"/>
      </w:r>
    </w:p>
    <w:p w14:paraId="7D6468EF" w14:textId="50C50CE5" w:rsidR="003668CB" w:rsidRDefault="00C66AEE" w:rsidP="009C1296">
      <w:pPr>
        <w:pStyle w:val="Heading1"/>
        <w:rPr>
          <w:lang w:val="fr-BE"/>
        </w:rPr>
      </w:pPr>
      <w:bookmarkStart w:id="2" w:name="_Toc115962324"/>
      <w:r>
        <w:rPr>
          <w:lang w:val="fr-BE"/>
        </w:rPr>
        <w:lastRenderedPageBreak/>
        <w:t>Transition vers une autre forme d’emploi (art.</w:t>
      </w:r>
      <w:r w:rsidR="007857BC">
        <w:rPr>
          <w:lang w:val="fr-BE"/>
        </w:rPr>
        <w:t xml:space="preserve"> 12 </w:t>
      </w:r>
      <w:proofErr w:type="spellStart"/>
      <w:r w:rsidR="007857BC">
        <w:rPr>
          <w:lang w:val="fr-BE"/>
        </w:rPr>
        <w:t>Dir</w:t>
      </w:r>
      <w:proofErr w:type="spellEnd"/>
      <w:r w:rsidR="00D46EF3">
        <w:rPr>
          <w:lang w:val="fr-BE"/>
        </w:rPr>
        <w:t>.</w:t>
      </w:r>
      <w:r w:rsidR="007857BC">
        <w:rPr>
          <w:lang w:val="fr-BE"/>
        </w:rPr>
        <w:t xml:space="preserve"> 2019/1152</w:t>
      </w:r>
      <w:r w:rsidR="00D46EF3">
        <w:rPr>
          <w:lang w:val="fr-BE"/>
        </w:rPr>
        <w:t>)</w:t>
      </w:r>
      <w:bookmarkEnd w:id="2"/>
    </w:p>
    <w:p w14:paraId="12709AAB" w14:textId="3A1CBF85" w:rsidR="001F4816" w:rsidRDefault="00F25E80" w:rsidP="003A7D52">
      <w:pPr>
        <w:rPr>
          <w:lang w:val="fr-BE"/>
        </w:rPr>
      </w:pPr>
      <w:r w:rsidRPr="007C7A84">
        <w:rPr>
          <w:lang w:val="fr-BE"/>
        </w:rPr>
        <w:t xml:space="preserve">L’article 12 de </w:t>
      </w:r>
      <w:r>
        <w:rPr>
          <w:lang w:val="fr-BE"/>
        </w:rPr>
        <w:t>la Directive</w:t>
      </w:r>
      <w:r w:rsidRPr="007C7A84">
        <w:rPr>
          <w:lang w:val="fr-BE"/>
        </w:rPr>
        <w:t xml:space="preserve"> prévoit que les États membres doivent veiller à ce qu’un travailleur puisse demander, sous certaines conditions, une forme d’emploi comportant des conditions de travail plus prévisibles et plus sûres. </w:t>
      </w:r>
      <w:r w:rsidR="00284570">
        <w:rPr>
          <w:lang w:val="fr-BE"/>
        </w:rPr>
        <w:t>Il</w:t>
      </w:r>
      <w:r w:rsidR="001C1683">
        <w:rPr>
          <w:lang w:val="fr-BE"/>
        </w:rPr>
        <w:t xml:space="preserve"> s’énonce comme suit :</w:t>
      </w:r>
    </w:p>
    <w:p w14:paraId="21B4C90F" w14:textId="77777777" w:rsidR="00AD4163" w:rsidRPr="00AD4163" w:rsidRDefault="001C1683" w:rsidP="00AD4163">
      <w:pPr>
        <w:ind w:left="708"/>
        <w:rPr>
          <w:b/>
          <w:bCs/>
          <w:i/>
          <w:iCs/>
          <w:lang w:val="fr-BE"/>
        </w:rPr>
      </w:pPr>
      <w:r w:rsidRPr="00AD4163">
        <w:rPr>
          <w:b/>
          <w:bCs/>
          <w:i/>
          <w:iCs/>
          <w:lang w:val="fr-BE"/>
        </w:rPr>
        <w:t xml:space="preserve">Transition vers une autre forme d’emploi </w:t>
      </w:r>
    </w:p>
    <w:p w14:paraId="0EF5045C" w14:textId="77777777" w:rsidR="00AD4163" w:rsidRPr="00AD4163" w:rsidRDefault="001C1683" w:rsidP="00AD4163">
      <w:pPr>
        <w:ind w:left="708"/>
        <w:rPr>
          <w:i/>
          <w:iCs/>
          <w:lang w:val="fr-BE"/>
        </w:rPr>
      </w:pPr>
      <w:r w:rsidRPr="00AD4163">
        <w:rPr>
          <w:i/>
          <w:iCs/>
          <w:lang w:val="fr-BE"/>
        </w:rPr>
        <w:t xml:space="preserve">1. Les États membres veillent à ce qu’un travailleur travaillant depuis au moins six mois au service du même employeur, ayant accompli sa période d’essai, le cas échéant, puisse demander une forme d’emploi comportant des conditions de travail plus prévisibles et plus sûres, lorsqu’elle existe, et recevoir une réponse motivée par écrit. Les États membres peuvent limiter la fréquence des demandes qui déclenchent l’obligation au titre du présent article. </w:t>
      </w:r>
    </w:p>
    <w:p w14:paraId="2FFBECE0" w14:textId="1F7DD6D1" w:rsidR="001C1683" w:rsidRDefault="001C1683" w:rsidP="00AD4163">
      <w:pPr>
        <w:ind w:left="708"/>
        <w:rPr>
          <w:i/>
          <w:iCs/>
          <w:lang w:val="fr-BE"/>
        </w:rPr>
      </w:pPr>
      <w:r w:rsidRPr="00AD4163">
        <w:rPr>
          <w:i/>
          <w:iCs/>
          <w:lang w:val="fr-BE"/>
        </w:rPr>
        <w:t>2. Les États membres veillent à ce que l’employeur fournisse la réponse motivée par écrit visée au paragraphe 1 dans un délai d’un mois à compter de la demande. En ce qui concerne les personnes physiques agissant en qualité d’employeurs et les micro, petites ou moyennes entreprises, les États membres peuvent prévoir que ce délai soit porté à trois mois au maximum et permettre qu’une réponse orale soit donnée à une demande ultérieure similaire présentée par le même travailleur si la justification de la réponse en ce qui concerne la situation du travailleur demeure inchangée.</w:t>
      </w:r>
    </w:p>
    <w:p w14:paraId="39A6C041" w14:textId="176A45D9" w:rsidR="007E1057" w:rsidRDefault="007E1057" w:rsidP="007E1057">
      <w:pPr>
        <w:rPr>
          <w:lang w:val="fr-BE"/>
        </w:rPr>
      </w:pPr>
      <w:r>
        <w:rPr>
          <w:lang w:val="fr-BE"/>
        </w:rPr>
        <w:t>Le Considérant n°36</w:t>
      </w:r>
      <w:r w:rsidR="00C269C4">
        <w:rPr>
          <w:rStyle w:val="FootnoteReference"/>
          <w:lang w:val="fr-BE"/>
        </w:rPr>
        <w:footnoteReference w:id="2"/>
      </w:r>
      <w:r>
        <w:rPr>
          <w:lang w:val="fr-BE"/>
        </w:rPr>
        <w:t xml:space="preserve"> de la Directive donne </w:t>
      </w:r>
      <w:r w:rsidR="006E53D0">
        <w:rPr>
          <w:lang w:val="fr-BE"/>
        </w:rPr>
        <w:t xml:space="preserve">quelques </w:t>
      </w:r>
      <w:r>
        <w:rPr>
          <w:lang w:val="fr-BE"/>
        </w:rPr>
        <w:t>éléments</w:t>
      </w:r>
      <w:r w:rsidR="00497211">
        <w:rPr>
          <w:lang w:val="fr-BE"/>
        </w:rPr>
        <w:t xml:space="preserve"> </w:t>
      </w:r>
      <w:r w:rsidR="006E53D0">
        <w:rPr>
          <w:lang w:val="fr-BE"/>
        </w:rPr>
        <w:t>pour mieux comprendre</w:t>
      </w:r>
      <w:r w:rsidR="00497211">
        <w:rPr>
          <w:lang w:val="fr-BE"/>
        </w:rPr>
        <w:t xml:space="preserve"> l</w:t>
      </w:r>
      <w:r w:rsidR="00DA0B0B">
        <w:rPr>
          <w:lang w:val="fr-BE"/>
        </w:rPr>
        <w:t>es équilibres qui sous-tendent</w:t>
      </w:r>
      <w:r w:rsidR="00497211">
        <w:rPr>
          <w:lang w:val="fr-BE"/>
        </w:rPr>
        <w:t xml:space="preserve"> cet article 12</w:t>
      </w:r>
      <w:r w:rsidR="00C269C4">
        <w:rPr>
          <w:lang w:val="fr-BE"/>
        </w:rPr>
        <w:t>.</w:t>
      </w:r>
    </w:p>
    <w:p w14:paraId="3D0A6D53" w14:textId="71248DFF" w:rsidR="00F343FF" w:rsidRPr="007C7A84" w:rsidRDefault="007C7A84" w:rsidP="00F343FF">
      <w:pPr>
        <w:rPr>
          <w:i/>
          <w:iCs/>
          <w:lang w:val="fr-BE"/>
        </w:rPr>
      </w:pPr>
      <w:r w:rsidRPr="007C7A84">
        <w:rPr>
          <w:lang w:val="fr-BE"/>
        </w:rPr>
        <w:t>Les articles 17 et 18 de cette directive prévoient que les États membres doivent prendre les mesures nécessaires pour interdire le traitement défavorable ou le licenciement, ou tous préparatifs en vue du licenciement, d’un travailleur au motif que ce travailleur a exercé les droits prévus par la directive</w:t>
      </w:r>
      <w:r w:rsidR="00F25E80">
        <w:rPr>
          <w:lang w:val="fr-BE"/>
        </w:rPr>
        <w:t>.</w:t>
      </w:r>
    </w:p>
    <w:p w14:paraId="7BF338C7" w14:textId="5664361B" w:rsidR="003A7D52" w:rsidRPr="00855596" w:rsidRDefault="003E2648" w:rsidP="003A7D52">
      <w:pPr>
        <w:pStyle w:val="Heading1"/>
        <w:rPr>
          <w:lang w:val="fr-BE"/>
        </w:rPr>
      </w:pPr>
      <w:bookmarkStart w:id="3" w:name="_Toc115962325"/>
      <w:r w:rsidRPr="00855596">
        <w:rPr>
          <w:lang w:val="fr-BE"/>
        </w:rPr>
        <w:t>Processus législatif</w:t>
      </w:r>
      <w:bookmarkEnd w:id="3"/>
    </w:p>
    <w:p w14:paraId="711C241F" w14:textId="63FCFB29" w:rsidR="00781FE1" w:rsidRPr="0065650D" w:rsidRDefault="00C72FAD" w:rsidP="00C72FAD">
      <w:pPr>
        <w:rPr>
          <w:rStyle w:val="normaltextrun"/>
          <w:rFonts w:ascii="Trebuchet MS" w:hAnsi="Trebuchet MS" w:cs="Segoe UI"/>
          <w:lang w:val="fr-BE"/>
        </w:rPr>
      </w:pPr>
      <w:r w:rsidRPr="00855596">
        <w:rPr>
          <w:lang w:val="fr-BE"/>
        </w:rPr>
        <w:t xml:space="preserve">L’article 23 de la </w:t>
      </w:r>
      <w:r w:rsidR="00855596">
        <w:rPr>
          <w:lang w:val="fr-BE"/>
        </w:rPr>
        <w:t xml:space="preserve">future </w:t>
      </w:r>
      <w:r w:rsidRPr="00855596">
        <w:rPr>
          <w:rStyle w:val="normaltextrun"/>
          <w:rFonts w:ascii="Trebuchet MS" w:hAnsi="Trebuchet MS" w:cs="Segoe UI"/>
          <w:lang w:val="fr-BE"/>
        </w:rPr>
        <w:t>loi de transposition</w:t>
      </w:r>
      <w:r w:rsidR="00855596">
        <w:rPr>
          <w:rStyle w:val="FootnoteReference"/>
          <w:rFonts w:ascii="Trebuchet MS" w:hAnsi="Trebuchet MS" w:cs="Segoe UI"/>
          <w:lang w:val="fr-BE"/>
        </w:rPr>
        <w:footnoteReference w:id="3"/>
      </w:r>
      <w:r>
        <w:rPr>
          <w:rStyle w:val="normaltextrun"/>
          <w:rFonts w:ascii="Trebuchet MS" w:hAnsi="Trebuchet MS" w:cs="Segoe UI"/>
          <w:lang w:val="fr-BE"/>
        </w:rPr>
        <w:t xml:space="preserve"> fixe un régime supplétif, càd que ce régime peut être remplacé par une CCT conclue au sein du CNT qui soit rendue obligatoire par A.R.</w:t>
      </w:r>
      <w:r w:rsidR="009A7B2F">
        <w:rPr>
          <w:rStyle w:val="normaltextrun"/>
          <w:rFonts w:ascii="Trebuchet MS" w:hAnsi="Trebuchet MS" w:cs="Segoe UI"/>
          <w:lang w:val="fr-BE"/>
        </w:rPr>
        <w:t>,</w:t>
      </w:r>
      <w:r>
        <w:rPr>
          <w:rStyle w:val="normaltextrun"/>
          <w:rFonts w:ascii="Trebuchet MS" w:hAnsi="Trebuchet MS" w:cs="Segoe UI"/>
          <w:lang w:val="fr-BE"/>
        </w:rPr>
        <w:t xml:space="preserve"> qui entre en vigueur au plus tard le 1</w:t>
      </w:r>
      <w:r w:rsidRPr="00C55F8E">
        <w:rPr>
          <w:rStyle w:val="normaltextrun"/>
          <w:rFonts w:ascii="Trebuchet MS" w:hAnsi="Trebuchet MS" w:cs="Segoe UI"/>
          <w:vertAlign w:val="superscript"/>
          <w:lang w:val="fr-BE"/>
        </w:rPr>
        <w:t>er</w:t>
      </w:r>
      <w:r>
        <w:rPr>
          <w:rStyle w:val="normaltextrun"/>
          <w:rFonts w:ascii="Trebuchet MS" w:hAnsi="Trebuchet MS" w:cs="Segoe UI"/>
          <w:lang w:val="fr-BE"/>
        </w:rPr>
        <w:t xml:space="preserve"> octobre 2022</w:t>
      </w:r>
      <w:r w:rsidR="004C3BDD">
        <w:rPr>
          <w:rStyle w:val="normaltextrun"/>
          <w:rFonts w:ascii="Trebuchet MS" w:hAnsi="Trebuchet MS" w:cs="Segoe UI"/>
          <w:lang w:val="fr-BE"/>
        </w:rPr>
        <w:t xml:space="preserve"> et qui garantisse le même niveau de protection globale des travailleurs</w:t>
      </w:r>
      <w:r>
        <w:rPr>
          <w:rStyle w:val="normaltextrun"/>
          <w:rFonts w:ascii="Trebuchet MS" w:hAnsi="Trebuchet MS" w:cs="Segoe UI"/>
          <w:lang w:val="fr-BE"/>
        </w:rPr>
        <w:t xml:space="preserve">. </w:t>
      </w:r>
      <w:r w:rsidR="00DB5C0D">
        <w:rPr>
          <w:rStyle w:val="normaltextrun"/>
          <w:rFonts w:ascii="Trebuchet MS" w:hAnsi="Trebuchet MS" w:cs="Segoe UI"/>
          <w:lang w:val="fr-BE"/>
        </w:rPr>
        <w:t>Ce</w:t>
      </w:r>
      <w:r w:rsidR="00982898">
        <w:rPr>
          <w:rStyle w:val="normaltextrun"/>
          <w:rFonts w:ascii="Trebuchet MS" w:hAnsi="Trebuchet MS" w:cs="Segoe UI"/>
          <w:lang w:val="fr-BE"/>
        </w:rPr>
        <w:t>tte possibilité</w:t>
      </w:r>
      <w:r w:rsidR="0065650D">
        <w:rPr>
          <w:rStyle w:val="normaltextrun"/>
          <w:rFonts w:ascii="Trebuchet MS" w:hAnsi="Trebuchet MS" w:cs="Segoe UI"/>
          <w:lang w:val="fr-BE"/>
        </w:rPr>
        <w:t xml:space="preserve"> de transposition d’une Directive par les partenaires sociaux</w:t>
      </w:r>
      <w:r w:rsidR="00982898">
        <w:rPr>
          <w:rStyle w:val="normaltextrun"/>
          <w:rFonts w:ascii="Trebuchet MS" w:hAnsi="Trebuchet MS" w:cs="Segoe UI"/>
          <w:lang w:val="fr-BE"/>
        </w:rPr>
        <w:t>, ancrée dans l’article 19 de cette</w:t>
      </w:r>
      <w:r w:rsidR="000769F8">
        <w:rPr>
          <w:rStyle w:val="normaltextrun"/>
          <w:rFonts w:ascii="Trebuchet MS" w:hAnsi="Trebuchet MS" w:cs="Segoe UI"/>
          <w:lang w:val="fr-BE"/>
        </w:rPr>
        <w:t xml:space="preserve"> future</w:t>
      </w:r>
      <w:r w:rsidR="00982898">
        <w:rPr>
          <w:rStyle w:val="normaltextrun"/>
          <w:rFonts w:ascii="Trebuchet MS" w:hAnsi="Trebuchet MS" w:cs="Segoe UI"/>
          <w:lang w:val="fr-BE"/>
        </w:rPr>
        <w:t xml:space="preserve"> loi, est conforme</w:t>
      </w:r>
      <w:r w:rsidR="0065650D">
        <w:rPr>
          <w:rStyle w:val="normaltextrun"/>
          <w:rFonts w:ascii="Trebuchet MS" w:hAnsi="Trebuchet MS" w:cs="Segoe UI"/>
          <w:lang w:val="fr-BE"/>
        </w:rPr>
        <w:t xml:space="preserve"> </w:t>
      </w:r>
      <w:r w:rsidR="0065650D">
        <w:rPr>
          <w:lang w:val="fr-BE"/>
        </w:rPr>
        <w:t>au</w:t>
      </w:r>
      <w:r w:rsidR="0065650D" w:rsidRPr="0065650D">
        <w:rPr>
          <w:lang w:val="fr-BE"/>
        </w:rPr>
        <w:t xml:space="preserve"> Traité sur le </w:t>
      </w:r>
      <w:r w:rsidR="0065650D" w:rsidRPr="0065650D">
        <w:rPr>
          <w:lang w:val="fr-BE"/>
        </w:rPr>
        <w:lastRenderedPageBreak/>
        <w:t xml:space="preserve">fonctionnement de l'Union européenne, qui a intégré le </w:t>
      </w:r>
      <w:r w:rsidR="0033569E">
        <w:rPr>
          <w:lang w:val="fr-BE"/>
        </w:rPr>
        <w:t>P</w:t>
      </w:r>
      <w:r w:rsidR="0065650D" w:rsidRPr="0065650D">
        <w:rPr>
          <w:lang w:val="fr-BE"/>
        </w:rPr>
        <w:t xml:space="preserve">rotocole social, </w:t>
      </w:r>
      <w:r w:rsidR="00347E53">
        <w:rPr>
          <w:lang w:val="fr-BE"/>
        </w:rPr>
        <w:t>et à l’article 21</w:t>
      </w:r>
      <w:r w:rsidR="0065650D" w:rsidRPr="0065650D">
        <w:rPr>
          <w:lang w:val="fr-BE"/>
        </w:rPr>
        <w:t xml:space="preserve"> la directive </w:t>
      </w:r>
      <w:r w:rsidR="00347E53">
        <w:rPr>
          <w:lang w:val="fr-BE"/>
        </w:rPr>
        <w:t>elle-même.</w:t>
      </w:r>
    </w:p>
    <w:p w14:paraId="227A2AEE" w14:textId="32D4AF49" w:rsidR="00C72FAD" w:rsidRDefault="002C3FB9" w:rsidP="00C72FAD">
      <w:pPr>
        <w:rPr>
          <w:rStyle w:val="normaltextrun"/>
          <w:rFonts w:ascii="Trebuchet MS" w:hAnsi="Trebuchet MS" w:cs="Segoe UI"/>
          <w:lang w:val="fr-BE"/>
        </w:rPr>
      </w:pPr>
      <w:r>
        <w:rPr>
          <w:rStyle w:val="normaltextrun"/>
          <w:rFonts w:ascii="Trebuchet MS" w:hAnsi="Trebuchet MS" w:cs="Segoe UI"/>
          <w:lang w:val="fr-BE"/>
        </w:rPr>
        <w:t>Dans la mesure où le CNT a conclu le 27/9/2022 la CCT n°161, qui sera par conséquent la seule source de droit applicable aux employeurs et aux travailleurs du secteur privé</w:t>
      </w:r>
      <w:r w:rsidR="001B1EB8">
        <w:rPr>
          <w:rStyle w:val="normaltextrun"/>
          <w:rFonts w:ascii="Trebuchet MS" w:hAnsi="Trebuchet MS" w:cs="Segoe UI"/>
          <w:lang w:val="fr-BE"/>
        </w:rPr>
        <w:t xml:space="preserve">, </w:t>
      </w:r>
      <w:r w:rsidR="0097130F">
        <w:rPr>
          <w:rStyle w:val="normaltextrun"/>
          <w:rFonts w:ascii="Trebuchet MS" w:hAnsi="Trebuchet MS" w:cs="Segoe UI"/>
          <w:lang w:val="fr-BE"/>
        </w:rPr>
        <w:t>n</w:t>
      </w:r>
      <w:r w:rsidR="00066DBA">
        <w:rPr>
          <w:rStyle w:val="normaltextrun"/>
          <w:rFonts w:ascii="Trebuchet MS" w:hAnsi="Trebuchet MS" w:cs="Segoe UI"/>
          <w:lang w:val="fr-BE"/>
        </w:rPr>
        <w:t xml:space="preserve">ous ne commenterons pas </w:t>
      </w:r>
      <w:r w:rsidR="001B1EB8">
        <w:rPr>
          <w:rStyle w:val="normaltextrun"/>
          <w:rFonts w:ascii="Trebuchet MS" w:hAnsi="Trebuchet MS" w:cs="Segoe UI"/>
          <w:lang w:val="fr-BE"/>
        </w:rPr>
        <w:t xml:space="preserve">davantage </w:t>
      </w:r>
      <w:r w:rsidR="00066DBA">
        <w:rPr>
          <w:rStyle w:val="normaltextrun"/>
          <w:rFonts w:ascii="Trebuchet MS" w:hAnsi="Trebuchet MS" w:cs="Segoe UI"/>
          <w:lang w:val="fr-BE"/>
        </w:rPr>
        <w:t>cet article 23</w:t>
      </w:r>
      <w:r w:rsidR="00A86D00">
        <w:rPr>
          <w:rStyle w:val="normaltextrun"/>
          <w:rFonts w:ascii="Trebuchet MS" w:hAnsi="Trebuchet MS" w:cs="Segoe UI"/>
          <w:lang w:val="fr-BE"/>
        </w:rPr>
        <w:t>.</w:t>
      </w:r>
    </w:p>
    <w:p w14:paraId="2BF6BC72" w14:textId="66283690" w:rsidR="00CA5172" w:rsidRPr="00765A4E" w:rsidRDefault="000624A5" w:rsidP="00C72FAD">
      <w:pPr>
        <w:rPr>
          <w:i/>
          <w:iCs/>
          <w:lang w:val="fr-BE"/>
        </w:rPr>
      </w:pPr>
      <w:r w:rsidRPr="00765A4E">
        <w:rPr>
          <w:rStyle w:val="normaltextrun"/>
          <w:rFonts w:ascii="Trebuchet MS" w:hAnsi="Trebuchet MS" w:cs="Segoe UI"/>
          <w:i/>
          <w:iCs/>
          <w:lang w:val="fr-BE"/>
        </w:rPr>
        <w:t>NB : l</w:t>
      </w:r>
      <w:r w:rsidR="00CA5172" w:rsidRPr="00765A4E">
        <w:rPr>
          <w:rStyle w:val="normaltextrun"/>
          <w:rFonts w:ascii="Trebuchet MS" w:hAnsi="Trebuchet MS" w:cs="Segoe UI"/>
          <w:i/>
          <w:iCs/>
          <w:lang w:val="fr-BE"/>
        </w:rPr>
        <w:t xml:space="preserve">es partenaires sociaux interprofessionnels </w:t>
      </w:r>
      <w:r w:rsidR="0097130F" w:rsidRPr="00765A4E">
        <w:rPr>
          <w:rStyle w:val="normaltextrun"/>
          <w:rFonts w:ascii="Trebuchet MS" w:hAnsi="Trebuchet MS" w:cs="Segoe UI"/>
          <w:i/>
          <w:iCs/>
          <w:lang w:val="fr-BE"/>
        </w:rPr>
        <w:t>expliquent</w:t>
      </w:r>
      <w:r w:rsidR="00140CC1" w:rsidRPr="00140CC1">
        <w:rPr>
          <w:rStyle w:val="normaltextrun"/>
          <w:rFonts w:ascii="Trebuchet MS" w:hAnsi="Trebuchet MS" w:cs="Segoe UI"/>
          <w:i/>
          <w:iCs/>
          <w:lang w:val="fr-BE"/>
        </w:rPr>
        <w:t xml:space="preserve"> </w:t>
      </w:r>
      <w:r w:rsidR="00140CC1" w:rsidRPr="00765A4E">
        <w:rPr>
          <w:rStyle w:val="normaltextrun"/>
          <w:rFonts w:ascii="Trebuchet MS" w:hAnsi="Trebuchet MS" w:cs="Segoe UI"/>
          <w:i/>
          <w:iCs/>
          <w:lang w:val="fr-BE"/>
        </w:rPr>
        <w:t xml:space="preserve">dans leur </w:t>
      </w:r>
      <w:hyperlink r:id="rId15" w:history="1">
        <w:r w:rsidR="00140CC1" w:rsidRPr="00765A4E">
          <w:rPr>
            <w:rStyle w:val="Hyperlink"/>
            <w:rFonts w:ascii="Trebuchet MS" w:hAnsi="Trebuchet MS" w:cs="Segoe UI"/>
            <w:i/>
            <w:iCs/>
            <w:lang w:val="fr-BE"/>
          </w:rPr>
          <w:t>Avis n°2314</w:t>
        </w:r>
      </w:hyperlink>
      <w:r w:rsidR="00CA5172" w:rsidRPr="00765A4E">
        <w:rPr>
          <w:rStyle w:val="normaltextrun"/>
          <w:rFonts w:ascii="Trebuchet MS" w:hAnsi="Trebuchet MS" w:cs="Segoe UI"/>
          <w:i/>
          <w:iCs/>
          <w:lang w:val="fr-BE"/>
        </w:rPr>
        <w:t xml:space="preserve"> </w:t>
      </w:r>
      <w:r w:rsidR="009A6B72">
        <w:rPr>
          <w:rStyle w:val="normaltextrun"/>
          <w:rFonts w:ascii="Trebuchet MS" w:hAnsi="Trebuchet MS" w:cs="Segoe UI"/>
          <w:i/>
          <w:iCs/>
          <w:lang w:val="fr-BE"/>
        </w:rPr>
        <w:t xml:space="preserve">un certain nombre d’éléments </w:t>
      </w:r>
      <w:r w:rsidR="00140CC1">
        <w:rPr>
          <w:rStyle w:val="normaltextrun"/>
          <w:rFonts w:ascii="Trebuchet MS" w:hAnsi="Trebuchet MS" w:cs="Segoe UI"/>
          <w:i/>
          <w:iCs/>
          <w:lang w:val="fr-BE"/>
        </w:rPr>
        <w:t>liés à la conclusion de la CCT n°161</w:t>
      </w:r>
      <w:r w:rsidR="009A6B72">
        <w:rPr>
          <w:rStyle w:val="normaltextrun"/>
          <w:rFonts w:ascii="Trebuchet MS" w:hAnsi="Trebuchet MS" w:cs="Segoe UI"/>
          <w:i/>
          <w:iCs/>
          <w:lang w:val="fr-BE"/>
        </w:rPr>
        <w:t>.</w:t>
      </w:r>
    </w:p>
    <w:p w14:paraId="33E353CB" w14:textId="750D7013" w:rsidR="00AB4AC0" w:rsidRDefault="00A75FF9" w:rsidP="00A75FF9">
      <w:pPr>
        <w:pStyle w:val="Heading1"/>
        <w:rPr>
          <w:lang w:val="fr-BE"/>
        </w:rPr>
      </w:pPr>
      <w:bookmarkStart w:id="4" w:name="_Toc115962326"/>
      <w:r>
        <w:rPr>
          <w:lang w:val="fr-BE"/>
        </w:rPr>
        <w:t>Champ d’application</w:t>
      </w:r>
      <w:r w:rsidR="002C048B">
        <w:rPr>
          <w:lang w:val="fr-BE"/>
        </w:rPr>
        <w:t xml:space="preserve"> de la CCT n°161</w:t>
      </w:r>
      <w:r w:rsidR="00D50460">
        <w:rPr>
          <w:lang w:val="fr-BE"/>
        </w:rPr>
        <w:t xml:space="preserve"> (art. 3 à 5)</w:t>
      </w:r>
      <w:bookmarkEnd w:id="4"/>
    </w:p>
    <w:p w14:paraId="4DF14E84" w14:textId="6ADB9753" w:rsidR="007465C2" w:rsidRDefault="003223C3" w:rsidP="007465C2">
      <w:pPr>
        <w:pStyle w:val="Heading2"/>
        <w:rPr>
          <w:lang w:val="fr-BE"/>
        </w:rPr>
      </w:pPr>
      <w:bookmarkStart w:id="5" w:name="_Toc115962327"/>
      <w:r>
        <w:rPr>
          <w:lang w:val="fr-BE"/>
        </w:rPr>
        <w:t xml:space="preserve">Principe : </w:t>
      </w:r>
      <w:r w:rsidR="004E73B9">
        <w:rPr>
          <w:lang w:val="fr-BE"/>
        </w:rPr>
        <w:t xml:space="preserve">tous les travailleurs ayant </w:t>
      </w:r>
      <w:r w:rsidR="00710A92">
        <w:rPr>
          <w:lang w:val="fr-BE"/>
        </w:rPr>
        <w:t>au moins 6 mois d’a</w:t>
      </w:r>
      <w:r>
        <w:rPr>
          <w:lang w:val="fr-BE"/>
        </w:rPr>
        <w:t>ncienneté</w:t>
      </w:r>
      <w:bookmarkEnd w:id="5"/>
      <w:r w:rsidR="007465C2">
        <w:rPr>
          <w:lang w:val="fr-BE"/>
        </w:rPr>
        <w:t xml:space="preserve"> </w:t>
      </w:r>
    </w:p>
    <w:p w14:paraId="411C8AFC" w14:textId="278139D5" w:rsidR="00A40759" w:rsidRPr="007465C2" w:rsidRDefault="002C048B" w:rsidP="00A75FF9">
      <w:pPr>
        <w:rPr>
          <w:lang w:val="fr-BE"/>
        </w:rPr>
      </w:pPr>
      <w:r>
        <w:rPr>
          <w:lang w:val="fr-BE"/>
        </w:rPr>
        <w:t>La CCT s</w:t>
      </w:r>
      <w:r w:rsidRPr="002C048B">
        <w:rPr>
          <w:lang w:val="fr-BE"/>
        </w:rPr>
        <w:t xml:space="preserve">'applique aux </w:t>
      </w:r>
      <w:r w:rsidRPr="007465C2">
        <w:rPr>
          <w:lang w:val="fr-BE"/>
        </w:rPr>
        <w:t>travailleurs engagés dans les liens d'un contrat de travail</w:t>
      </w:r>
      <w:r w:rsidR="00FC3675" w:rsidRPr="007465C2">
        <w:rPr>
          <w:lang w:val="fr-BE"/>
        </w:rPr>
        <w:t xml:space="preserve"> ayant au moins 6 mois d’ancienneté</w:t>
      </w:r>
      <w:r w:rsidRPr="007465C2">
        <w:rPr>
          <w:lang w:val="fr-BE"/>
        </w:rPr>
        <w:t xml:space="preserve">, ainsi qu'aux employeurs qui les occupent. </w:t>
      </w:r>
      <w:r w:rsidR="002F032F">
        <w:rPr>
          <w:lang w:val="fr-BE"/>
        </w:rPr>
        <w:t>Cette condition d’ancienneté s’applique dans tous les cas.</w:t>
      </w:r>
    </w:p>
    <w:p w14:paraId="064B3AC2" w14:textId="16BF51C8" w:rsidR="00B215EA" w:rsidRDefault="0018548E" w:rsidP="00BB75D1">
      <w:pPr>
        <w:rPr>
          <w:lang w:val="fr-BE"/>
        </w:rPr>
      </w:pPr>
      <w:r w:rsidRPr="007465C2">
        <w:rPr>
          <w:lang w:val="fr-BE"/>
        </w:rPr>
        <w:t>Pour le calcul de l’ancienneté de minimum 6 m</w:t>
      </w:r>
      <w:r w:rsidR="00B215EA" w:rsidRPr="007465C2">
        <w:rPr>
          <w:lang w:val="fr-BE"/>
        </w:rPr>
        <w:t>ois auprès du même employeur</w:t>
      </w:r>
      <w:r w:rsidRPr="007465C2">
        <w:rPr>
          <w:lang w:val="fr-BE"/>
        </w:rPr>
        <w:t>, les périodes d’occupation auprès du même employeur s</w:t>
      </w:r>
      <w:r w:rsidR="00365F0D" w:rsidRPr="007465C2">
        <w:rPr>
          <w:lang w:val="fr-BE"/>
        </w:rPr>
        <w:t>er</w:t>
      </w:r>
      <w:r w:rsidRPr="007465C2">
        <w:rPr>
          <w:lang w:val="fr-BE"/>
        </w:rPr>
        <w:t xml:space="preserve">ont additionnées. </w:t>
      </w:r>
      <w:r w:rsidR="00B215EA" w:rsidRPr="007465C2">
        <w:rPr>
          <w:lang w:val="fr-BE"/>
        </w:rPr>
        <w:t>Ainsi, e</w:t>
      </w:r>
      <w:r w:rsidRPr="007465C2">
        <w:rPr>
          <w:lang w:val="fr-BE"/>
        </w:rPr>
        <w:t>n cas de contrats à durée déterminée successifs auprès du</w:t>
      </w:r>
      <w:r w:rsidRPr="0018548E">
        <w:rPr>
          <w:lang w:val="fr-BE"/>
        </w:rPr>
        <w:t xml:space="preserve"> même employeur, les périodes entre ces différents contrats sont neutralisées pour le calcul de l’ancienneté de six mois. </w:t>
      </w:r>
    </w:p>
    <w:p w14:paraId="5B797083" w14:textId="43FFB44D" w:rsidR="003A7D52" w:rsidRDefault="0018548E" w:rsidP="00BB75D1">
      <w:pPr>
        <w:rPr>
          <w:lang w:val="fr-BE"/>
        </w:rPr>
      </w:pPr>
      <w:r w:rsidRPr="0018548E">
        <w:rPr>
          <w:lang w:val="fr-BE"/>
        </w:rPr>
        <w:t xml:space="preserve">Dans le cadre du travail intérimaire, est prise en compte pour le calcul de l’ancienneté de six </w:t>
      </w:r>
      <w:r w:rsidR="00477A85">
        <w:rPr>
          <w:lang w:val="fr-BE"/>
        </w:rPr>
        <w:t>mois</w:t>
      </w:r>
      <w:r w:rsidRPr="0018548E">
        <w:rPr>
          <w:lang w:val="fr-BE"/>
        </w:rPr>
        <w:t xml:space="preserve"> pour les travailleurs intérimaires, l’ancienneté au sein de l’entreprise de travail intérimaire et chez le même utilisateur. Lorsqu’un travailleur intérimaire est engagé par un utilisateur après la période d’occupation en tant que travailleur intérimaire auprès de ce même utilisateur, les périodes d’occupation en tant que travailleur intérimaire auprès de cet utilisateur sont prises en considération pour le calcul de l’ancienneté </w:t>
      </w:r>
      <w:r w:rsidR="002C4644">
        <w:rPr>
          <w:lang w:val="fr-BE"/>
        </w:rPr>
        <w:t>de 6 mois.</w:t>
      </w:r>
    </w:p>
    <w:p w14:paraId="43B4B7A1" w14:textId="3A06AFA7" w:rsidR="00CE0C0D" w:rsidRPr="00AB0720" w:rsidRDefault="00CE0C0D" w:rsidP="00BB75D1">
      <w:pPr>
        <w:rPr>
          <w:lang w:val="fr-BE"/>
        </w:rPr>
      </w:pPr>
      <w:r w:rsidRPr="00D12063">
        <w:rPr>
          <w:b/>
          <w:bCs/>
          <w:u w:val="single"/>
          <w:lang w:val="fr-BE"/>
        </w:rPr>
        <w:t>Attention</w:t>
      </w:r>
      <w:r>
        <w:rPr>
          <w:lang w:val="fr-BE"/>
        </w:rPr>
        <w:t xml:space="preserve"> : </w:t>
      </w:r>
      <w:r w:rsidR="00D12063">
        <w:rPr>
          <w:lang w:val="fr-BE"/>
        </w:rPr>
        <w:t>i</w:t>
      </w:r>
      <w:r w:rsidR="00AB0720" w:rsidRPr="00AB0720">
        <w:rPr>
          <w:lang w:val="fr-BE"/>
        </w:rPr>
        <w:t xml:space="preserve">l est </w:t>
      </w:r>
      <w:r w:rsidR="00D12063">
        <w:rPr>
          <w:lang w:val="fr-BE"/>
        </w:rPr>
        <w:t>i</w:t>
      </w:r>
      <w:r w:rsidR="002F032F">
        <w:rPr>
          <w:lang w:val="fr-BE"/>
        </w:rPr>
        <w:t>nterdit</w:t>
      </w:r>
      <w:r w:rsidR="00AB0720" w:rsidRPr="00AB0720">
        <w:rPr>
          <w:lang w:val="fr-BE"/>
        </w:rPr>
        <w:t xml:space="preserve">, </w:t>
      </w:r>
      <w:r w:rsidR="00D12063">
        <w:rPr>
          <w:lang w:val="fr-BE"/>
        </w:rPr>
        <w:t xml:space="preserve">que ce soit </w:t>
      </w:r>
      <w:r w:rsidR="00AB0720" w:rsidRPr="00AB0720">
        <w:rPr>
          <w:lang w:val="fr-BE"/>
        </w:rPr>
        <w:t>au niveau du secteur,</w:t>
      </w:r>
      <w:r w:rsidR="00D12063">
        <w:rPr>
          <w:lang w:val="fr-BE"/>
        </w:rPr>
        <w:t xml:space="preserve"> au niveau de l’entreprise ou</w:t>
      </w:r>
      <w:r w:rsidR="00AB0720" w:rsidRPr="00AB0720">
        <w:rPr>
          <w:lang w:val="fr-BE"/>
        </w:rPr>
        <w:t xml:space="preserve"> au niveau individuel, de déroger d’un commun accord à la condition selon laquelle le travailleur doit avoir une ancienneté de six mois (calculée conformément à l’article 5) pour entrer en ligne de compte pour le droit de demander une forme d’emploi comportant des conditions de travail plus prévisibles et plus sûres</w:t>
      </w:r>
      <w:r w:rsidR="002F032F">
        <w:rPr>
          <w:lang w:val="fr-BE"/>
        </w:rPr>
        <w:t>.</w:t>
      </w:r>
    </w:p>
    <w:p w14:paraId="58630C96" w14:textId="08B90DD1" w:rsidR="007465C2" w:rsidRDefault="007465C2" w:rsidP="007465C2">
      <w:pPr>
        <w:pStyle w:val="Heading2"/>
        <w:rPr>
          <w:lang w:val="fr-BE"/>
        </w:rPr>
      </w:pPr>
      <w:bookmarkStart w:id="6" w:name="_Toc115962328"/>
      <w:r w:rsidRPr="002C4644">
        <w:rPr>
          <w:lang w:val="fr-BE"/>
        </w:rPr>
        <w:t>Exception</w:t>
      </w:r>
      <w:bookmarkEnd w:id="6"/>
    </w:p>
    <w:p w14:paraId="7712C1D1" w14:textId="55C07C43" w:rsidR="007465C2" w:rsidRDefault="007465C2" w:rsidP="00BB75D1">
      <w:pPr>
        <w:rPr>
          <w:lang w:val="fr-BE"/>
        </w:rPr>
      </w:pPr>
      <w:r>
        <w:rPr>
          <w:b/>
          <w:bCs/>
          <w:lang w:val="fr-BE"/>
        </w:rPr>
        <w:t>C</w:t>
      </w:r>
      <w:r>
        <w:rPr>
          <w:lang w:val="fr-BE"/>
        </w:rPr>
        <w:t>ette CCT</w:t>
      </w:r>
      <w:r w:rsidRPr="002C048B">
        <w:rPr>
          <w:lang w:val="fr-BE"/>
        </w:rPr>
        <w:t xml:space="preserve"> ne s’applique pas aux travailleurs</w:t>
      </w:r>
      <w:r w:rsidR="00AD30F0">
        <w:rPr>
          <w:lang w:val="fr-BE"/>
        </w:rPr>
        <w:t xml:space="preserve"> (même avec 6 mois d’ancienneté)</w:t>
      </w:r>
      <w:r w:rsidRPr="002C048B">
        <w:rPr>
          <w:lang w:val="fr-BE"/>
        </w:rPr>
        <w:t xml:space="preserve"> ayant une relation de travail dans laquelle leur temps de travail prédéterminé et réel est inférieur ou égal à une moyenne de trois heures par semaine au cours d’une période de référence de quatre semaines consécutives.</w:t>
      </w:r>
      <w:r>
        <w:rPr>
          <w:lang w:val="fr-BE"/>
        </w:rPr>
        <w:t xml:space="preserve"> La CCT reprend ici littéralement la seule exception autorisée par la Directive. Il s’agit d’une exception très restrictive, qui vise un nombre très faible de travailleurs</w:t>
      </w:r>
      <w:r>
        <w:rPr>
          <w:rStyle w:val="FootnoteReference"/>
          <w:lang w:val="fr-BE"/>
        </w:rPr>
        <w:footnoteReference w:id="4"/>
      </w:r>
      <w:r>
        <w:rPr>
          <w:lang w:val="fr-BE"/>
        </w:rPr>
        <w:t>.</w:t>
      </w:r>
    </w:p>
    <w:p w14:paraId="5701EF80" w14:textId="65A50DDC" w:rsidR="003979D7" w:rsidRDefault="00E6635A" w:rsidP="00531941">
      <w:pPr>
        <w:pStyle w:val="Heading1"/>
        <w:rPr>
          <w:lang w:val="fr-BE"/>
        </w:rPr>
      </w:pPr>
      <w:bookmarkStart w:id="7" w:name="_Toc115962329"/>
      <w:r>
        <w:rPr>
          <w:lang w:val="fr-BE"/>
        </w:rPr>
        <w:lastRenderedPageBreak/>
        <w:t>Définition des conditions de travail plus prévisibles et plus sûres</w:t>
      </w:r>
      <w:r w:rsidR="00070594">
        <w:rPr>
          <w:lang w:val="fr-BE"/>
        </w:rPr>
        <w:t xml:space="preserve"> (art. 6)</w:t>
      </w:r>
      <w:bookmarkEnd w:id="7"/>
    </w:p>
    <w:p w14:paraId="55C079DD" w14:textId="3073C118" w:rsidR="00E6635A" w:rsidRDefault="001C0005" w:rsidP="00E6635A">
      <w:pPr>
        <w:rPr>
          <w:lang w:val="fr-BE"/>
        </w:rPr>
      </w:pPr>
      <w:r>
        <w:rPr>
          <w:lang w:val="fr-BE"/>
        </w:rPr>
        <w:t xml:space="preserve">Ni la Directive ni la CCT ne </w:t>
      </w:r>
      <w:r w:rsidR="00807111">
        <w:rPr>
          <w:lang w:val="fr-BE"/>
        </w:rPr>
        <w:t>contiennent une définition stricte d’une forme d’emploi comp</w:t>
      </w:r>
      <w:r w:rsidR="00170F04">
        <w:rPr>
          <w:lang w:val="fr-BE"/>
        </w:rPr>
        <w:t>ortant des conditions de travail plus prévisibles et plus sûres.</w:t>
      </w:r>
    </w:p>
    <w:p w14:paraId="5BDFA9D7" w14:textId="77777777" w:rsidR="008C0C40" w:rsidRDefault="00170F04" w:rsidP="00E6635A">
      <w:pPr>
        <w:rPr>
          <w:lang w:val="fr-BE"/>
        </w:rPr>
      </w:pPr>
      <w:r>
        <w:rPr>
          <w:lang w:val="fr-BE"/>
        </w:rPr>
        <w:t>La CC</w:t>
      </w:r>
      <w:r w:rsidR="00070594">
        <w:rPr>
          <w:lang w:val="fr-BE"/>
        </w:rPr>
        <w:t>T</w:t>
      </w:r>
      <w:r w:rsidR="008C0C40">
        <w:rPr>
          <w:lang w:val="fr-BE"/>
        </w:rPr>
        <w:t xml:space="preserve"> précise que :</w:t>
      </w:r>
    </w:p>
    <w:p w14:paraId="038E8D68" w14:textId="66BA512A" w:rsidR="00631E47" w:rsidRDefault="008C0C40" w:rsidP="008C0C40">
      <w:pPr>
        <w:pStyle w:val="ListParagraph"/>
        <w:numPr>
          <w:ilvl w:val="0"/>
          <w:numId w:val="18"/>
        </w:numPr>
        <w:rPr>
          <w:lang w:val="fr-BE"/>
        </w:rPr>
      </w:pPr>
      <w:r w:rsidRPr="008C0C40">
        <w:rPr>
          <w:lang w:val="fr-BE"/>
        </w:rPr>
        <w:t>le travailleur est éligible à l’obtention d’une forme d’emploi comportant des conditions de travail plus prévisibles et plus sûres dans la mesure</w:t>
      </w:r>
      <w:r w:rsidR="0030216B">
        <w:rPr>
          <w:lang w:val="fr-BE"/>
        </w:rPr>
        <w:t xml:space="preserve"> où les 3 conditions suivantes sont remplies</w:t>
      </w:r>
      <w:r w:rsidR="00086B11">
        <w:rPr>
          <w:lang w:val="fr-BE"/>
        </w:rPr>
        <w:t xml:space="preserve"> (art. 6 §3)</w:t>
      </w:r>
      <w:r w:rsidR="00631E47">
        <w:rPr>
          <w:lang w:val="fr-BE"/>
        </w:rPr>
        <w:t> :</w:t>
      </w:r>
    </w:p>
    <w:p w14:paraId="6C19DE45" w14:textId="77777777" w:rsidR="0030216B" w:rsidRDefault="008C0C40" w:rsidP="00677123">
      <w:pPr>
        <w:pStyle w:val="ListParagraph"/>
        <w:numPr>
          <w:ilvl w:val="1"/>
          <w:numId w:val="18"/>
        </w:numPr>
        <w:rPr>
          <w:lang w:val="fr-BE"/>
        </w:rPr>
      </w:pPr>
      <w:r w:rsidRPr="008C0C40">
        <w:rPr>
          <w:lang w:val="fr-BE"/>
        </w:rPr>
        <w:t>une forme d’emploi comportant des conditions de travail plus prévisibles et plus sûres est disponible</w:t>
      </w:r>
      <w:r w:rsidR="0030216B">
        <w:rPr>
          <w:lang w:val="fr-BE"/>
        </w:rPr>
        <w:t xml:space="preserve"> dans l’entreprise</w:t>
      </w:r>
    </w:p>
    <w:p w14:paraId="0A2FF4AA" w14:textId="77777777" w:rsidR="0030216B" w:rsidRDefault="0030216B" w:rsidP="00677123">
      <w:pPr>
        <w:pStyle w:val="ListParagraph"/>
        <w:numPr>
          <w:ilvl w:val="1"/>
          <w:numId w:val="18"/>
        </w:numPr>
        <w:rPr>
          <w:lang w:val="fr-BE"/>
        </w:rPr>
      </w:pPr>
      <w:r>
        <w:rPr>
          <w:lang w:val="fr-BE"/>
        </w:rPr>
        <w:t>le travailleur</w:t>
      </w:r>
      <w:r w:rsidR="008C0C40" w:rsidRPr="008C0C40">
        <w:rPr>
          <w:lang w:val="fr-BE"/>
        </w:rPr>
        <w:t xml:space="preserve"> satisfait aux qualifications et compétences requises à cet effet</w:t>
      </w:r>
    </w:p>
    <w:p w14:paraId="63C37C4D" w14:textId="11C9E4C5" w:rsidR="00170F04" w:rsidRDefault="0030216B" w:rsidP="00677123">
      <w:pPr>
        <w:pStyle w:val="ListParagraph"/>
        <w:numPr>
          <w:ilvl w:val="1"/>
          <w:numId w:val="18"/>
        </w:numPr>
        <w:rPr>
          <w:lang w:val="fr-BE"/>
        </w:rPr>
      </w:pPr>
      <w:r>
        <w:rPr>
          <w:lang w:val="fr-BE"/>
        </w:rPr>
        <w:t>le travailleur</w:t>
      </w:r>
      <w:r w:rsidR="008C0C40" w:rsidRPr="008C0C40">
        <w:rPr>
          <w:lang w:val="fr-BE"/>
        </w:rPr>
        <w:t xml:space="preserve"> accepte l’horaire proposé et les conditions de rémunération</w:t>
      </w:r>
    </w:p>
    <w:p w14:paraId="095A197C" w14:textId="77777777" w:rsidR="00966168" w:rsidRDefault="00966168" w:rsidP="00966168">
      <w:pPr>
        <w:pStyle w:val="ListParagraph"/>
        <w:ind w:left="1440"/>
        <w:rPr>
          <w:lang w:val="fr-BE"/>
        </w:rPr>
      </w:pPr>
    </w:p>
    <w:p w14:paraId="6EC2AF31" w14:textId="27A5DC41" w:rsidR="008C0C40" w:rsidRDefault="00E066F5" w:rsidP="008C0C40">
      <w:pPr>
        <w:pStyle w:val="ListParagraph"/>
        <w:numPr>
          <w:ilvl w:val="0"/>
          <w:numId w:val="18"/>
        </w:numPr>
        <w:rPr>
          <w:lang w:val="fr-BE"/>
        </w:rPr>
      </w:pPr>
      <w:r>
        <w:rPr>
          <w:lang w:val="fr-BE"/>
        </w:rPr>
        <w:t xml:space="preserve">ces 3 conditions </w:t>
      </w:r>
      <w:r w:rsidR="00FC786D">
        <w:rPr>
          <w:lang w:val="fr-BE"/>
        </w:rPr>
        <w:t xml:space="preserve">de la CCT n°161 sont, en réalité, supplétives puisqu’elles </w:t>
      </w:r>
      <w:r>
        <w:rPr>
          <w:lang w:val="fr-BE"/>
        </w:rPr>
        <w:t>peuvent être concrétisées</w:t>
      </w:r>
      <w:r w:rsidR="00064E94">
        <w:rPr>
          <w:lang w:val="fr-BE"/>
        </w:rPr>
        <w:t xml:space="preserve"> différemment par la concertation collective (sectorielle ou au niveau de l’entreprise) ou par un accord individuel entre l</w:t>
      </w:r>
      <w:r w:rsidR="00FF3D57">
        <w:rPr>
          <w:lang w:val="fr-BE"/>
        </w:rPr>
        <w:t>’employeur et le travailleur (art. 6 §4)</w:t>
      </w:r>
      <w:r w:rsidR="00354F9B">
        <w:rPr>
          <w:lang w:val="fr-BE"/>
        </w:rPr>
        <w:t>. Toutefois, i</w:t>
      </w:r>
      <w:r w:rsidR="00354F9B" w:rsidRPr="00AB0720">
        <w:rPr>
          <w:lang w:val="fr-BE"/>
        </w:rPr>
        <w:t xml:space="preserve">l est </w:t>
      </w:r>
      <w:r w:rsidR="00354F9B">
        <w:rPr>
          <w:lang w:val="fr-BE"/>
        </w:rPr>
        <w:t>interdit</w:t>
      </w:r>
      <w:r w:rsidR="00354F9B" w:rsidRPr="00AB0720">
        <w:rPr>
          <w:lang w:val="fr-BE"/>
        </w:rPr>
        <w:t xml:space="preserve">, </w:t>
      </w:r>
      <w:r w:rsidR="00354F9B">
        <w:rPr>
          <w:lang w:val="fr-BE"/>
        </w:rPr>
        <w:t xml:space="preserve">que ce soit </w:t>
      </w:r>
      <w:r w:rsidR="00354F9B" w:rsidRPr="00AB0720">
        <w:rPr>
          <w:lang w:val="fr-BE"/>
        </w:rPr>
        <w:t>au niveau du secteur,</w:t>
      </w:r>
      <w:r w:rsidR="00354F9B">
        <w:rPr>
          <w:lang w:val="fr-BE"/>
        </w:rPr>
        <w:t xml:space="preserve"> au niveau de l’entreprise ou</w:t>
      </w:r>
      <w:r w:rsidR="00354F9B" w:rsidRPr="00AB0720">
        <w:rPr>
          <w:lang w:val="fr-BE"/>
        </w:rPr>
        <w:t xml:space="preserve"> au niveau individuel, de déroger d’un commun accord à la condition selon laquelle le travailleur doit avoir une ancienneté de six mois</w:t>
      </w:r>
      <w:r w:rsidR="00354F9B">
        <w:rPr>
          <w:lang w:val="fr-BE"/>
        </w:rPr>
        <w:t xml:space="preserve"> (cf. pt 3.1 supra)</w:t>
      </w:r>
    </w:p>
    <w:p w14:paraId="1D07935D" w14:textId="77777777" w:rsidR="00966168" w:rsidRDefault="00966168" w:rsidP="00966168">
      <w:pPr>
        <w:pStyle w:val="ListParagraph"/>
        <w:rPr>
          <w:lang w:val="fr-BE"/>
        </w:rPr>
      </w:pPr>
    </w:p>
    <w:p w14:paraId="76BF5DEB" w14:textId="346CBED0" w:rsidR="00FF3D57" w:rsidRDefault="00FF3D57" w:rsidP="008C0C40">
      <w:pPr>
        <w:pStyle w:val="ListParagraph"/>
        <w:numPr>
          <w:ilvl w:val="0"/>
          <w:numId w:val="18"/>
        </w:numPr>
        <w:rPr>
          <w:lang w:val="fr-BE"/>
        </w:rPr>
      </w:pPr>
      <w:r>
        <w:rPr>
          <w:lang w:val="fr-BE"/>
        </w:rPr>
        <w:t>le commentaire sous l’article 6 donne quelques exemples de ce qu’on peut entendre par des « </w:t>
      </w:r>
      <w:r w:rsidRPr="008C0C40">
        <w:rPr>
          <w:lang w:val="fr-BE"/>
        </w:rPr>
        <w:t>conditions de travail plus prévisibles et plus sûres</w:t>
      </w:r>
      <w:r>
        <w:rPr>
          <w:lang w:val="fr-BE"/>
        </w:rPr>
        <w:t> »</w:t>
      </w:r>
      <w:r w:rsidR="00AA6078">
        <w:rPr>
          <w:lang w:val="fr-BE"/>
        </w:rPr>
        <w:t> :</w:t>
      </w:r>
    </w:p>
    <w:p w14:paraId="6FAAB20F" w14:textId="77777777" w:rsidR="00B87644" w:rsidRDefault="00AA6078" w:rsidP="00176BE3">
      <w:pPr>
        <w:pStyle w:val="ListParagraph"/>
        <w:numPr>
          <w:ilvl w:val="1"/>
          <w:numId w:val="18"/>
        </w:numPr>
        <w:rPr>
          <w:lang w:val="fr-BE"/>
        </w:rPr>
      </w:pPr>
      <w:r w:rsidRPr="00AA6078">
        <w:rPr>
          <w:lang w:val="fr-BE"/>
        </w:rPr>
        <w:t xml:space="preserve">un contrat de travail à durée indéterminée plutôt qu’un contrat de travail à durée déterminée ; </w:t>
      </w:r>
    </w:p>
    <w:p w14:paraId="4C8F54AF" w14:textId="77777777" w:rsidR="00B87644" w:rsidRDefault="00AA6078" w:rsidP="00176BE3">
      <w:pPr>
        <w:pStyle w:val="ListParagraph"/>
        <w:numPr>
          <w:ilvl w:val="1"/>
          <w:numId w:val="18"/>
        </w:numPr>
        <w:rPr>
          <w:lang w:val="fr-BE"/>
        </w:rPr>
      </w:pPr>
      <w:r w:rsidRPr="00AA6078">
        <w:rPr>
          <w:lang w:val="fr-BE"/>
        </w:rPr>
        <w:t>un contrat de travail à temps plein plutôt qu’un contrat de travail à temps partiel ;</w:t>
      </w:r>
    </w:p>
    <w:p w14:paraId="39FB665C" w14:textId="77777777" w:rsidR="00B87644" w:rsidRDefault="00AA6078" w:rsidP="00176BE3">
      <w:pPr>
        <w:pStyle w:val="ListParagraph"/>
        <w:numPr>
          <w:ilvl w:val="1"/>
          <w:numId w:val="18"/>
        </w:numPr>
        <w:rPr>
          <w:lang w:val="fr-BE"/>
        </w:rPr>
      </w:pPr>
      <w:r w:rsidRPr="00AA6078">
        <w:rPr>
          <w:lang w:val="fr-BE"/>
        </w:rPr>
        <w:t>un contrat de travail à temps partiel prévoyant un plus grand nombre d’heures plutôt qu’un contrat de travail à temps partiel prévoyant un moins grand nombre d’heures ;</w:t>
      </w:r>
    </w:p>
    <w:p w14:paraId="194BF694" w14:textId="77777777" w:rsidR="00B87644" w:rsidRDefault="00AA6078" w:rsidP="00176BE3">
      <w:pPr>
        <w:pStyle w:val="ListParagraph"/>
        <w:numPr>
          <w:ilvl w:val="1"/>
          <w:numId w:val="18"/>
        </w:numPr>
        <w:rPr>
          <w:lang w:val="fr-BE"/>
        </w:rPr>
      </w:pPr>
      <w:r w:rsidRPr="00AA6078">
        <w:rPr>
          <w:lang w:val="fr-BE"/>
        </w:rPr>
        <w:t>un contrat de travail avec un horaire fixe plutôt qu’un contrat de travail avec un horaire variable ;</w:t>
      </w:r>
    </w:p>
    <w:p w14:paraId="4AE101E3" w14:textId="3A632C51" w:rsidR="00AA6078" w:rsidRDefault="00AA6078" w:rsidP="00176BE3">
      <w:pPr>
        <w:pStyle w:val="ListParagraph"/>
        <w:numPr>
          <w:ilvl w:val="1"/>
          <w:numId w:val="18"/>
        </w:numPr>
        <w:rPr>
          <w:lang w:val="fr-BE"/>
        </w:rPr>
      </w:pPr>
      <w:r w:rsidRPr="00AA6078">
        <w:rPr>
          <w:lang w:val="fr-BE"/>
        </w:rPr>
        <w:t>un contrat de travail intérimaire hebdomadaire ou mensuel plutôt qu’un contrat de travail intérimaire journalier.</w:t>
      </w:r>
    </w:p>
    <w:p w14:paraId="09A7E650" w14:textId="77777777" w:rsidR="00AC7774" w:rsidRDefault="00AC7774" w:rsidP="00AC7774">
      <w:pPr>
        <w:pStyle w:val="ListParagraph"/>
        <w:ind w:left="1440"/>
        <w:rPr>
          <w:lang w:val="fr-BE"/>
        </w:rPr>
      </w:pPr>
    </w:p>
    <w:p w14:paraId="6D739027" w14:textId="67AFC0D5" w:rsidR="00B80671" w:rsidRPr="0094423F" w:rsidRDefault="00AC7774" w:rsidP="0094423F">
      <w:pPr>
        <w:pStyle w:val="ListParagraph"/>
        <w:numPr>
          <w:ilvl w:val="0"/>
          <w:numId w:val="18"/>
        </w:numPr>
        <w:rPr>
          <w:lang w:val="fr-BE"/>
        </w:rPr>
      </w:pPr>
      <w:r>
        <w:rPr>
          <w:lang w:val="fr-BE"/>
        </w:rPr>
        <w:t>Dans le même commentaire, on précise que le travailleur doit déterminer lui-même</w:t>
      </w:r>
      <w:r w:rsidR="0094423F">
        <w:rPr>
          <w:lang w:val="fr-BE"/>
        </w:rPr>
        <w:t xml:space="preserve"> ce </w:t>
      </w:r>
      <w:r w:rsidR="0094423F" w:rsidRPr="0094423F">
        <w:rPr>
          <w:lang w:val="fr-BE"/>
        </w:rPr>
        <w:t xml:space="preserve">qui constitue, pour lui, une forme d’emploi comportant des conditions de travail plus prévisibles et plus sûres. Il s’agit donc toujours d’une appréciation subjective de la part du travailleur concerné. </w:t>
      </w:r>
      <w:r w:rsidRPr="0094423F">
        <w:rPr>
          <w:lang w:val="fr-BE"/>
        </w:rPr>
        <w:t xml:space="preserve"> </w:t>
      </w:r>
    </w:p>
    <w:p w14:paraId="09184F12" w14:textId="4B7DC3AF" w:rsidR="002C4644" w:rsidRDefault="00531941" w:rsidP="00531941">
      <w:pPr>
        <w:pStyle w:val="Heading1"/>
        <w:rPr>
          <w:lang w:val="fr-BE"/>
        </w:rPr>
      </w:pPr>
      <w:bookmarkStart w:id="8" w:name="_Toc115962330"/>
      <w:r>
        <w:rPr>
          <w:lang w:val="fr-BE"/>
        </w:rPr>
        <w:lastRenderedPageBreak/>
        <w:t>Procédure de demande d’une forme d</w:t>
      </w:r>
      <w:r w:rsidR="00B66570">
        <w:rPr>
          <w:lang w:val="fr-BE"/>
        </w:rPr>
        <w:t>’emploi plus prévisible et plus sûre</w:t>
      </w:r>
      <w:r w:rsidR="00D50460">
        <w:rPr>
          <w:lang w:val="fr-BE"/>
        </w:rPr>
        <w:t xml:space="preserve"> (art. </w:t>
      </w:r>
      <w:r w:rsidR="00D05978">
        <w:rPr>
          <w:lang w:val="fr-BE"/>
        </w:rPr>
        <w:t>7</w:t>
      </w:r>
      <w:r w:rsidR="00D50460">
        <w:rPr>
          <w:lang w:val="fr-BE"/>
        </w:rPr>
        <w:t xml:space="preserve"> à</w:t>
      </w:r>
      <w:r w:rsidR="00401165">
        <w:rPr>
          <w:lang w:val="fr-BE"/>
        </w:rPr>
        <w:t xml:space="preserve"> 13)</w:t>
      </w:r>
      <w:bookmarkEnd w:id="8"/>
    </w:p>
    <w:p w14:paraId="5B0C36B1" w14:textId="2719920F" w:rsidR="00401165" w:rsidRDefault="00401165" w:rsidP="00401165">
      <w:pPr>
        <w:pStyle w:val="Heading2"/>
        <w:rPr>
          <w:lang w:val="fr-BE"/>
        </w:rPr>
      </w:pPr>
      <w:bookmarkStart w:id="9" w:name="_Toc115962331"/>
      <w:r>
        <w:rPr>
          <w:lang w:val="fr-BE"/>
        </w:rPr>
        <w:t>Demande par le travailleur</w:t>
      </w:r>
      <w:bookmarkEnd w:id="9"/>
    </w:p>
    <w:p w14:paraId="0AEE881B" w14:textId="77777777" w:rsidR="00D66BB6" w:rsidRDefault="006947B1" w:rsidP="00401165">
      <w:pPr>
        <w:rPr>
          <w:lang w:val="fr-BE"/>
        </w:rPr>
      </w:pPr>
      <w:r>
        <w:rPr>
          <w:lang w:val="fr-BE"/>
        </w:rPr>
        <w:t>Le travailleur</w:t>
      </w:r>
      <w:r w:rsidR="00CA1BA4" w:rsidRPr="00CA1BA4">
        <w:rPr>
          <w:lang w:val="fr-BE"/>
        </w:rPr>
        <w:t xml:space="preserve"> peut demander à son employeur une forme d’emploi comportant des conditions de travail plus prévisibles et plus sûres.</w:t>
      </w:r>
    </w:p>
    <w:p w14:paraId="080CB9CA" w14:textId="3FD74DCA" w:rsidR="0034546D" w:rsidRDefault="00B544CD" w:rsidP="0034546D">
      <w:pPr>
        <w:rPr>
          <w:lang w:val="fr-BE"/>
        </w:rPr>
      </w:pPr>
      <w:r>
        <w:rPr>
          <w:lang w:val="fr-BE"/>
        </w:rPr>
        <w:t xml:space="preserve">Voici les </w:t>
      </w:r>
      <w:r w:rsidR="005F1091">
        <w:rPr>
          <w:lang w:val="fr-BE"/>
        </w:rPr>
        <w:t>étapes à respecter :</w:t>
      </w:r>
    </w:p>
    <w:p w14:paraId="41D0251C" w14:textId="37822A41" w:rsidR="005F1091" w:rsidRDefault="00D05978" w:rsidP="005F1091">
      <w:pPr>
        <w:pStyle w:val="ListParagraph"/>
        <w:numPr>
          <w:ilvl w:val="0"/>
          <w:numId w:val="18"/>
        </w:numPr>
        <w:rPr>
          <w:lang w:val="fr-BE"/>
        </w:rPr>
      </w:pPr>
      <w:r w:rsidRPr="00D05978">
        <w:rPr>
          <w:lang w:val="fr-BE"/>
        </w:rPr>
        <w:t xml:space="preserve">Le travailleur qui souhaite obtenir une forme d’emploi comportant des conditions de travail plus prévisibles et plus sûres en fait la demande </w:t>
      </w:r>
      <w:r w:rsidRPr="00C83693">
        <w:rPr>
          <w:b/>
          <w:bCs/>
          <w:lang w:val="fr-BE"/>
        </w:rPr>
        <w:t>par écrit</w:t>
      </w:r>
      <w:r w:rsidRPr="00D05978">
        <w:rPr>
          <w:lang w:val="fr-BE"/>
        </w:rPr>
        <w:t xml:space="preserve"> à son employeur </w:t>
      </w:r>
      <w:r w:rsidRPr="00C83693">
        <w:rPr>
          <w:b/>
          <w:bCs/>
          <w:lang w:val="fr-BE"/>
        </w:rPr>
        <w:t>au moins trois mois avant le début souhaité</w:t>
      </w:r>
      <w:r w:rsidRPr="00D05978">
        <w:rPr>
          <w:lang w:val="fr-BE"/>
        </w:rPr>
        <w:t xml:space="preserve"> de cette forme d’emploi. Il est possible de fixer un délai plus court en utilisant </w:t>
      </w:r>
      <w:r w:rsidR="00A628BD">
        <w:rPr>
          <w:lang w:val="fr-BE"/>
        </w:rPr>
        <w:t>la concertation collective ou l’accord individuel expliqués à l’article 6.</w:t>
      </w:r>
    </w:p>
    <w:p w14:paraId="179BC6B9" w14:textId="77777777" w:rsidR="00C221D3" w:rsidRDefault="00C221D3" w:rsidP="00C221D3">
      <w:pPr>
        <w:pStyle w:val="ListParagraph"/>
        <w:rPr>
          <w:lang w:val="fr-BE"/>
        </w:rPr>
      </w:pPr>
    </w:p>
    <w:p w14:paraId="2FC1C3D2" w14:textId="77777777" w:rsidR="00C221D3" w:rsidRPr="00F31154" w:rsidRDefault="00C221D3" w:rsidP="00C221D3">
      <w:pPr>
        <w:pStyle w:val="ListParagraph"/>
        <w:numPr>
          <w:ilvl w:val="0"/>
          <w:numId w:val="18"/>
        </w:numPr>
        <w:rPr>
          <w:lang w:val="fr-BE"/>
        </w:rPr>
      </w:pPr>
      <w:r w:rsidRPr="00F31154">
        <w:rPr>
          <w:lang w:val="fr-BE"/>
        </w:rPr>
        <w:t>La demande est introduite soit par lettre recommandée, soit par la remise d’un écrit dont le double est signé par l’employeur au titre d’accusé de réception, soit par voie électronique moyennant un accusé de réception de l’employeur.</w:t>
      </w:r>
    </w:p>
    <w:p w14:paraId="5B5D3E86" w14:textId="77777777" w:rsidR="00830395" w:rsidRDefault="00830395" w:rsidP="00830395">
      <w:pPr>
        <w:pStyle w:val="ListParagraph"/>
        <w:rPr>
          <w:lang w:val="fr-BE"/>
        </w:rPr>
      </w:pPr>
    </w:p>
    <w:p w14:paraId="2F2B95FD" w14:textId="6B137098" w:rsidR="00A628BD" w:rsidRDefault="00C221D3" w:rsidP="005F1091">
      <w:pPr>
        <w:pStyle w:val="ListParagraph"/>
        <w:numPr>
          <w:ilvl w:val="0"/>
          <w:numId w:val="18"/>
        </w:numPr>
        <w:rPr>
          <w:lang w:val="fr-BE"/>
        </w:rPr>
      </w:pPr>
      <w:r>
        <w:rPr>
          <w:lang w:val="fr-BE"/>
        </w:rPr>
        <w:t>En outre, p</w:t>
      </w:r>
      <w:r w:rsidR="004967E3">
        <w:rPr>
          <w:lang w:val="fr-BE"/>
        </w:rPr>
        <w:t>our être recevable, la demande comprend les éléments suivants :</w:t>
      </w:r>
    </w:p>
    <w:p w14:paraId="776596E3" w14:textId="77777777" w:rsidR="00F31154" w:rsidRDefault="00F31154" w:rsidP="00830395">
      <w:pPr>
        <w:pStyle w:val="ListParagraph"/>
        <w:numPr>
          <w:ilvl w:val="1"/>
          <w:numId w:val="18"/>
        </w:numPr>
        <w:rPr>
          <w:lang w:val="fr-BE"/>
        </w:rPr>
      </w:pPr>
      <w:r>
        <w:rPr>
          <w:lang w:val="fr-BE"/>
        </w:rPr>
        <w:t>l</w:t>
      </w:r>
      <w:r w:rsidRPr="00F31154">
        <w:rPr>
          <w:lang w:val="fr-BE"/>
        </w:rPr>
        <w:t xml:space="preserve">a mention expresse </w:t>
      </w:r>
      <w:r>
        <w:rPr>
          <w:lang w:val="fr-BE"/>
        </w:rPr>
        <w:t>que le travailleur se fonde sur la CCT n°161</w:t>
      </w:r>
      <w:r w:rsidRPr="00F31154">
        <w:rPr>
          <w:lang w:val="fr-BE"/>
        </w:rPr>
        <w:t xml:space="preserve"> ;</w:t>
      </w:r>
    </w:p>
    <w:p w14:paraId="2E29E80B" w14:textId="77777777" w:rsidR="00830395" w:rsidRDefault="00F31154" w:rsidP="00830395">
      <w:pPr>
        <w:pStyle w:val="ListParagraph"/>
        <w:numPr>
          <w:ilvl w:val="1"/>
          <w:numId w:val="18"/>
        </w:numPr>
        <w:rPr>
          <w:lang w:val="fr-BE"/>
        </w:rPr>
      </w:pPr>
      <w:r w:rsidRPr="00F31154">
        <w:rPr>
          <w:lang w:val="fr-BE"/>
        </w:rPr>
        <w:t xml:space="preserve">l’indication de la forme d’emploi comportant des conditions de travail plus prévisibles et plus sûres pour laquelle le travailleur souhaite entrer en ligne de compte ; </w:t>
      </w:r>
    </w:p>
    <w:p w14:paraId="7D5B4A28" w14:textId="77777777" w:rsidR="00830395" w:rsidRDefault="00F31154" w:rsidP="00830395">
      <w:pPr>
        <w:pStyle w:val="ListParagraph"/>
        <w:numPr>
          <w:ilvl w:val="1"/>
          <w:numId w:val="18"/>
        </w:numPr>
        <w:rPr>
          <w:lang w:val="fr-BE"/>
        </w:rPr>
      </w:pPr>
      <w:r w:rsidRPr="00F31154">
        <w:rPr>
          <w:lang w:val="fr-BE"/>
        </w:rPr>
        <w:t xml:space="preserve">la date de début souhaitée de la forme d’emploi comportant des conditions de travail plus prévisibles et plus sûres. </w:t>
      </w:r>
    </w:p>
    <w:p w14:paraId="4C994C74" w14:textId="68355E22" w:rsidR="00830395" w:rsidRDefault="00830395" w:rsidP="00830395">
      <w:pPr>
        <w:pStyle w:val="ListParagraph"/>
        <w:rPr>
          <w:lang w:val="fr-BE"/>
        </w:rPr>
      </w:pPr>
    </w:p>
    <w:p w14:paraId="1EA88F70" w14:textId="275F66E7" w:rsidR="00CC1875" w:rsidRDefault="00F85433" w:rsidP="00A60A28">
      <w:pPr>
        <w:pStyle w:val="ListParagraph"/>
        <w:numPr>
          <w:ilvl w:val="0"/>
          <w:numId w:val="18"/>
        </w:numPr>
        <w:rPr>
          <w:lang w:val="fr-BE"/>
        </w:rPr>
      </w:pPr>
      <w:r w:rsidRPr="00CC1875">
        <w:rPr>
          <w:lang w:val="fr-BE"/>
        </w:rPr>
        <w:t>Fréquence : l</w:t>
      </w:r>
      <w:r w:rsidR="00B33304" w:rsidRPr="00CC1875">
        <w:rPr>
          <w:lang w:val="fr-BE"/>
        </w:rPr>
        <w:t xml:space="preserve">e travailleur ne peut pas faire de demande plus d’une fois par </w:t>
      </w:r>
      <w:r w:rsidR="00CC1875">
        <w:rPr>
          <w:lang w:val="fr-BE"/>
        </w:rPr>
        <w:t>an. Ceci correspond au cycle HR dans la majorité des entreprises.</w:t>
      </w:r>
    </w:p>
    <w:p w14:paraId="6234D11F" w14:textId="77777777" w:rsidR="00CC1875" w:rsidRPr="00CC1875" w:rsidRDefault="00CC1875" w:rsidP="00CC1875">
      <w:pPr>
        <w:pStyle w:val="ListParagraph"/>
        <w:rPr>
          <w:lang w:val="fr-BE"/>
        </w:rPr>
      </w:pPr>
    </w:p>
    <w:p w14:paraId="62693017" w14:textId="2A707535" w:rsidR="00B33304" w:rsidRPr="00B33304" w:rsidRDefault="00B33304" w:rsidP="00F85433">
      <w:pPr>
        <w:pStyle w:val="ListParagraph"/>
        <w:numPr>
          <w:ilvl w:val="0"/>
          <w:numId w:val="18"/>
        </w:numPr>
        <w:rPr>
          <w:lang w:val="fr-BE"/>
        </w:rPr>
      </w:pPr>
      <w:r w:rsidRPr="00B33304">
        <w:rPr>
          <w:lang w:val="fr-BE"/>
        </w:rPr>
        <w:t xml:space="preserve">Si l’employeur ne répond pas à la demande dans le délai prévu </w:t>
      </w:r>
      <w:r w:rsidR="00F82454">
        <w:rPr>
          <w:lang w:val="fr-BE"/>
        </w:rPr>
        <w:t>(1 mois ou, dans les entreprise</w:t>
      </w:r>
      <w:r w:rsidR="00AE74F4">
        <w:rPr>
          <w:lang w:val="fr-BE"/>
        </w:rPr>
        <w:t xml:space="preserve"> de moins de 20 travailleur</w:t>
      </w:r>
      <w:r w:rsidR="00702B1F">
        <w:rPr>
          <w:lang w:val="fr-BE"/>
        </w:rPr>
        <w:t>s</w:t>
      </w:r>
      <w:r w:rsidR="00AE74F4">
        <w:rPr>
          <w:lang w:val="fr-BE"/>
        </w:rPr>
        <w:t xml:space="preserve">, 3 mois – cf. 5.2. infra), </w:t>
      </w:r>
      <w:r w:rsidRPr="00B33304">
        <w:rPr>
          <w:lang w:val="fr-BE"/>
        </w:rPr>
        <w:t>le travailleur peut réitérer sa demande</w:t>
      </w:r>
      <w:r w:rsidR="00702B1F">
        <w:rPr>
          <w:lang w:val="fr-BE"/>
        </w:rPr>
        <w:t xml:space="preserve">, </w:t>
      </w:r>
      <w:r w:rsidR="001A7860">
        <w:rPr>
          <w:lang w:val="fr-BE"/>
        </w:rPr>
        <w:t xml:space="preserve">et ce </w:t>
      </w:r>
      <w:r w:rsidR="00702B1F">
        <w:rPr>
          <w:lang w:val="fr-BE"/>
        </w:rPr>
        <w:t>sans devoir tenir compte du délai requis de 12 mois entre deux demandes</w:t>
      </w:r>
      <w:r w:rsidRPr="00B33304">
        <w:rPr>
          <w:lang w:val="fr-BE"/>
        </w:rPr>
        <w:t>.</w:t>
      </w:r>
    </w:p>
    <w:p w14:paraId="4DB81738" w14:textId="3F42FDBB" w:rsidR="00401165" w:rsidRDefault="00401165" w:rsidP="0034546D">
      <w:pPr>
        <w:pStyle w:val="Heading2"/>
        <w:rPr>
          <w:lang w:val="fr-BE"/>
        </w:rPr>
      </w:pPr>
      <w:bookmarkStart w:id="10" w:name="_Toc115962332"/>
      <w:r>
        <w:rPr>
          <w:lang w:val="fr-BE"/>
        </w:rPr>
        <w:t>Réponse par l’employeur</w:t>
      </w:r>
      <w:bookmarkEnd w:id="10"/>
    </w:p>
    <w:p w14:paraId="1B379C1D" w14:textId="7B3A451E" w:rsidR="00401165" w:rsidRDefault="001A7860" w:rsidP="001A7860">
      <w:pPr>
        <w:pStyle w:val="Heading3"/>
        <w:rPr>
          <w:lang w:val="fr-BE"/>
        </w:rPr>
      </w:pPr>
      <w:bookmarkStart w:id="11" w:name="_Toc115962333"/>
      <w:r>
        <w:rPr>
          <w:lang w:val="fr-BE"/>
        </w:rPr>
        <w:t>Principe</w:t>
      </w:r>
      <w:bookmarkEnd w:id="11"/>
      <w:r>
        <w:rPr>
          <w:lang w:val="fr-BE"/>
        </w:rPr>
        <w:t xml:space="preserve"> </w:t>
      </w:r>
    </w:p>
    <w:p w14:paraId="1228D891" w14:textId="5C34C466" w:rsidR="00891851" w:rsidRDefault="00891851" w:rsidP="001A7860">
      <w:pPr>
        <w:rPr>
          <w:lang w:val="fr-BE"/>
        </w:rPr>
      </w:pPr>
      <w:r>
        <w:rPr>
          <w:lang w:val="fr-BE"/>
        </w:rPr>
        <w:t>Voici les étapes à respecter :</w:t>
      </w:r>
    </w:p>
    <w:p w14:paraId="2E42C925" w14:textId="77777777" w:rsidR="006C20EC" w:rsidRPr="006C20EC" w:rsidRDefault="006C20EC" w:rsidP="006C20EC">
      <w:pPr>
        <w:pStyle w:val="ListParagraph"/>
        <w:numPr>
          <w:ilvl w:val="0"/>
          <w:numId w:val="18"/>
        </w:numPr>
        <w:rPr>
          <w:lang w:val="fr-BE"/>
        </w:rPr>
      </w:pPr>
      <w:r w:rsidRPr="006C20EC">
        <w:rPr>
          <w:lang w:val="fr-BE"/>
        </w:rPr>
        <w:t>L’employeur répond par écrit à la demande dans un délai d’un mois à compter de la date de la demande. Par dérogation, dans les entreprises comptant moins de 20 travailleurs, le délai de réponse est porté à maximum deux mois à compter de la date de la demande.</w:t>
      </w:r>
    </w:p>
    <w:p w14:paraId="6FC31EC7" w14:textId="77777777" w:rsidR="006C20EC" w:rsidRDefault="006C20EC" w:rsidP="006C20EC">
      <w:pPr>
        <w:pStyle w:val="ListParagraph"/>
        <w:rPr>
          <w:lang w:val="fr-BE"/>
        </w:rPr>
      </w:pPr>
    </w:p>
    <w:p w14:paraId="1C4BC636" w14:textId="22CB63DF" w:rsidR="00492DD7" w:rsidRPr="00891851" w:rsidRDefault="000C2972" w:rsidP="00891851">
      <w:pPr>
        <w:pStyle w:val="ListParagraph"/>
        <w:numPr>
          <w:ilvl w:val="0"/>
          <w:numId w:val="18"/>
        </w:numPr>
        <w:rPr>
          <w:lang w:val="fr-BE"/>
        </w:rPr>
      </w:pPr>
      <w:r w:rsidRPr="00891851">
        <w:rPr>
          <w:lang w:val="fr-BE"/>
        </w:rPr>
        <w:lastRenderedPageBreak/>
        <w:t>L’employeur motive sa réponse par écrit, sauf s’il accepte la demande. En indiquant les motifs concrets de sa décision de refus ou du report ou de la contreproposition, il doit tenir compte d</w:t>
      </w:r>
      <w:r w:rsidR="006E2B6B" w:rsidRPr="00891851">
        <w:rPr>
          <w:lang w:val="fr-BE"/>
        </w:rPr>
        <w:t>es conditions de fond précisées dans l’art. 6 §3 :</w:t>
      </w:r>
    </w:p>
    <w:p w14:paraId="18B8F547" w14:textId="27EA0783" w:rsidR="00802D34" w:rsidRDefault="00802D34" w:rsidP="00802D34">
      <w:pPr>
        <w:pStyle w:val="ListParagraph"/>
        <w:numPr>
          <w:ilvl w:val="1"/>
          <w:numId w:val="18"/>
        </w:numPr>
        <w:rPr>
          <w:lang w:val="fr-BE"/>
        </w:rPr>
      </w:pPr>
      <w:r w:rsidRPr="008C0C40">
        <w:rPr>
          <w:lang w:val="fr-BE"/>
        </w:rPr>
        <w:t>une forme d’emploi comportant des conditions de travail plus prévisibles et plus sûres est</w:t>
      </w:r>
      <w:r>
        <w:rPr>
          <w:lang w:val="fr-BE"/>
        </w:rPr>
        <w:t>-elle</w:t>
      </w:r>
      <w:r w:rsidRPr="008C0C40">
        <w:rPr>
          <w:lang w:val="fr-BE"/>
        </w:rPr>
        <w:t xml:space="preserve"> disponible</w:t>
      </w:r>
      <w:r>
        <w:rPr>
          <w:lang w:val="fr-BE"/>
        </w:rPr>
        <w:t xml:space="preserve"> dans l’entreprise ?</w:t>
      </w:r>
    </w:p>
    <w:p w14:paraId="0AA67353" w14:textId="26371608" w:rsidR="00802D34" w:rsidRDefault="00802D34" w:rsidP="00802D34">
      <w:pPr>
        <w:pStyle w:val="ListParagraph"/>
        <w:numPr>
          <w:ilvl w:val="1"/>
          <w:numId w:val="18"/>
        </w:numPr>
        <w:rPr>
          <w:lang w:val="fr-BE"/>
        </w:rPr>
      </w:pPr>
      <w:r>
        <w:rPr>
          <w:lang w:val="fr-BE"/>
        </w:rPr>
        <w:t>le travailleur</w:t>
      </w:r>
      <w:r w:rsidRPr="008C0C40">
        <w:rPr>
          <w:lang w:val="fr-BE"/>
        </w:rPr>
        <w:t xml:space="preserve"> satisfait</w:t>
      </w:r>
      <w:r>
        <w:rPr>
          <w:lang w:val="fr-BE"/>
        </w:rPr>
        <w:t>-il</w:t>
      </w:r>
      <w:r w:rsidRPr="008C0C40">
        <w:rPr>
          <w:lang w:val="fr-BE"/>
        </w:rPr>
        <w:t xml:space="preserve"> aux qualifications et compétences requises à cet effet</w:t>
      </w:r>
      <w:r>
        <w:rPr>
          <w:lang w:val="fr-BE"/>
        </w:rPr>
        <w:t> ?</w:t>
      </w:r>
    </w:p>
    <w:p w14:paraId="2EA2E90E" w14:textId="2FEF79DE" w:rsidR="00802D34" w:rsidRDefault="00802D34" w:rsidP="00802D34">
      <w:pPr>
        <w:pStyle w:val="ListParagraph"/>
        <w:numPr>
          <w:ilvl w:val="1"/>
          <w:numId w:val="18"/>
        </w:numPr>
        <w:rPr>
          <w:lang w:val="fr-BE"/>
        </w:rPr>
      </w:pPr>
      <w:r>
        <w:rPr>
          <w:lang w:val="fr-BE"/>
        </w:rPr>
        <w:t>le travailleur</w:t>
      </w:r>
      <w:r w:rsidRPr="008C0C40">
        <w:rPr>
          <w:lang w:val="fr-BE"/>
        </w:rPr>
        <w:t xml:space="preserve"> accepte</w:t>
      </w:r>
      <w:r>
        <w:rPr>
          <w:lang w:val="fr-BE"/>
        </w:rPr>
        <w:t>-t-il</w:t>
      </w:r>
      <w:r w:rsidRPr="008C0C40">
        <w:rPr>
          <w:lang w:val="fr-BE"/>
        </w:rPr>
        <w:t xml:space="preserve"> l’horaire proposé et les conditions de rémunération</w:t>
      </w:r>
      <w:r>
        <w:rPr>
          <w:lang w:val="fr-BE"/>
        </w:rPr>
        <w:t> ?</w:t>
      </w:r>
    </w:p>
    <w:p w14:paraId="38792277" w14:textId="77777777" w:rsidR="00891851" w:rsidRDefault="00891851" w:rsidP="00891851">
      <w:pPr>
        <w:pStyle w:val="ListParagraph"/>
        <w:rPr>
          <w:lang w:val="fr-BE"/>
        </w:rPr>
      </w:pPr>
    </w:p>
    <w:p w14:paraId="5CA4E52B" w14:textId="2050CD73" w:rsidR="006E2B6B" w:rsidRPr="00891851" w:rsidRDefault="00BE7DF9" w:rsidP="00891851">
      <w:pPr>
        <w:pStyle w:val="ListParagraph"/>
        <w:numPr>
          <w:ilvl w:val="0"/>
          <w:numId w:val="18"/>
        </w:numPr>
        <w:rPr>
          <w:lang w:val="fr-BE"/>
        </w:rPr>
      </w:pPr>
      <w:r w:rsidRPr="00891851">
        <w:rPr>
          <w:lang w:val="fr-BE"/>
        </w:rPr>
        <w:t>L</w:t>
      </w:r>
      <w:r w:rsidR="00891851">
        <w:rPr>
          <w:lang w:val="fr-BE"/>
        </w:rPr>
        <w:t>e commentaire sous l’article 8 précise que</w:t>
      </w:r>
      <w:r w:rsidR="003B336B">
        <w:rPr>
          <w:lang w:val="fr-BE"/>
        </w:rPr>
        <w:t xml:space="preserve">, </w:t>
      </w:r>
      <w:r w:rsidR="001E4B96">
        <w:rPr>
          <w:lang w:val="fr-BE"/>
        </w:rPr>
        <w:t>dans sa motivation, l’employeur tient compte non seulement des intérêts de l’entreprise, mais aussi des besoins du travailleur.</w:t>
      </w:r>
      <w:r w:rsidR="00E644F8">
        <w:rPr>
          <w:lang w:val="fr-BE"/>
        </w:rPr>
        <w:t xml:space="preserve"> Les motifs </w:t>
      </w:r>
      <w:r w:rsidR="001E67C1">
        <w:rPr>
          <w:lang w:val="fr-BE"/>
        </w:rPr>
        <w:t xml:space="preserve">transmis par écrit au travailleur </w:t>
      </w:r>
      <w:r w:rsidR="00E644F8">
        <w:rPr>
          <w:lang w:val="fr-BE"/>
        </w:rPr>
        <w:t>doivent être suffisamment concrets</w:t>
      </w:r>
      <w:r w:rsidR="00B04C67">
        <w:rPr>
          <w:lang w:val="fr-BE"/>
        </w:rPr>
        <w:t>.</w:t>
      </w:r>
    </w:p>
    <w:p w14:paraId="17310F44" w14:textId="774CA215" w:rsidR="001A7860" w:rsidRDefault="006F0906" w:rsidP="006F0906">
      <w:pPr>
        <w:pStyle w:val="Heading3"/>
        <w:rPr>
          <w:lang w:val="fr-BE"/>
        </w:rPr>
      </w:pPr>
      <w:bookmarkStart w:id="12" w:name="_Toc115962334"/>
      <w:r>
        <w:rPr>
          <w:lang w:val="fr-BE"/>
        </w:rPr>
        <w:t>Différentes réponses possibles</w:t>
      </w:r>
      <w:bookmarkEnd w:id="12"/>
    </w:p>
    <w:p w14:paraId="51F2E77B" w14:textId="582AA8B0" w:rsidR="006F0906" w:rsidRDefault="001E67C1" w:rsidP="006F0906">
      <w:pPr>
        <w:rPr>
          <w:lang w:val="fr-BE"/>
        </w:rPr>
      </w:pPr>
      <w:r>
        <w:rPr>
          <w:lang w:val="fr-BE"/>
        </w:rPr>
        <w:t xml:space="preserve">Les décisions de l’employeur </w:t>
      </w:r>
      <w:r w:rsidR="004B2FEE">
        <w:rPr>
          <w:lang w:val="fr-BE"/>
        </w:rPr>
        <w:t>peuvent être variées.</w:t>
      </w:r>
    </w:p>
    <w:p w14:paraId="1E0BFD64" w14:textId="4C99C8E2" w:rsidR="006F0906" w:rsidRDefault="006F0906" w:rsidP="006F0906">
      <w:pPr>
        <w:pStyle w:val="Heading4"/>
        <w:rPr>
          <w:lang w:val="fr-BE"/>
        </w:rPr>
      </w:pPr>
      <w:r>
        <w:rPr>
          <w:lang w:val="fr-BE"/>
        </w:rPr>
        <w:t>Acceptation</w:t>
      </w:r>
    </w:p>
    <w:p w14:paraId="42BC75BF" w14:textId="29AF51A2" w:rsidR="006F0906" w:rsidRDefault="00EB66AC" w:rsidP="006F0906">
      <w:pPr>
        <w:rPr>
          <w:lang w:val="fr-BE"/>
        </w:rPr>
      </w:pPr>
      <w:r w:rsidRPr="00EB66AC">
        <w:rPr>
          <w:lang w:val="fr-BE"/>
        </w:rPr>
        <w:t xml:space="preserve">Si l’employeur accepte la demande </w:t>
      </w:r>
      <w:r w:rsidR="00A54A3A">
        <w:rPr>
          <w:lang w:val="fr-BE"/>
        </w:rPr>
        <w:t>(</w:t>
      </w:r>
      <w:r w:rsidRPr="00EB66AC">
        <w:rPr>
          <w:lang w:val="fr-BE"/>
        </w:rPr>
        <w:t>ou si le travailleur accepte le report ou la contreproposition de l’employeur</w:t>
      </w:r>
      <w:r w:rsidR="00695B98">
        <w:rPr>
          <w:lang w:val="fr-BE"/>
        </w:rPr>
        <w:t>)</w:t>
      </w:r>
      <w:r w:rsidRPr="00EB66AC">
        <w:rPr>
          <w:lang w:val="fr-BE"/>
        </w:rPr>
        <w:t xml:space="preserve">, le travailleur qui a formulé la demande et son employeur doivent s’accorder sur les modalités concrètes de la forme d’emploi comportant des conditions de travail plus prévisibles </w:t>
      </w:r>
      <w:r w:rsidR="00D32C53">
        <w:rPr>
          <w:lang w:val="fr-BE"/>
        </w:rPr>
        <w:t>e</w:t>
      </w:r>
      <w:r w:rsidRPr="00EB66AC">
        <w:rPr>
          <w:lang w:val="fr-BE"/>
        </w:rPr>
        <w:t>t plus sûres à exercer par le travailleur.</w:t>
      </w:r>
    </w:p>
    <w:p w14:paraId="07076BC6" w14:textId="79130593" w:rsidR="000D295F" w:rsidRPr="008C78B7" w:rsidRDefault="00D32C53" w:rsidP="006F0906">
      <w:pPr>
        <w:rPr>
          <w:lang w:val="fr-BE"/>
        </w:rPr>
      </w:pPr>
      <w:r>
        <w:rPr>
          <w:lang w:val="fr-BE"/>
        </w:rPr>
        <w:t xml:space="preserve">Cet </w:t>
      </w:r>
      <w:r w:rsidR="008C78B7" w:rsidRPr="008C78B7">
        <w:rPr>
          <w:lang w:val="fr-BE"/>
        </w:rPr>
        <w:t xml:space="preserve">accord doit être conclu dans le respect des obligations légales, réglementaires et conventionnelles existantes en matière de droit du travail. </w:t>
      </w:r>
      <w:r>
        <w:rPr>
          <w:lang w:val="fr-BE"/>
        </w:rPr>
        <w:t>Ainsi, l</w:t>
      </w:r>
      <w:r w:rsidR="008C78B7" w:rsidRPr="008C78B7">
        <w:rPr>
          <w:lang w:val="fr-BE"/>
        </w:rPr>
        <w:t>e travailleur et son employeur doivent entre autres se concerter sur l’horaire proposé par l’employeur et sur les conditions de rémunération de la forme d’emploi comportant des conditions de travail plus prévisibles et plus sûres à exercer par le travailleur.</w:t>
      </w:r>
    </w:p>
    <w:p w14:paraId="726A2C47" w14:textId="4B9C5127" w:rsidR="006F0906" w:rsidRDefault="002F1199" w:rsidP="002F1199">
      <w:pPr>
        <w:pStyle w:val="Heading4"/>
        <w:rPr>
          <w:lang w:val="fr-BE"/>
        </w:rPr>
      </w:pPr>
      <w:r>
        <w:rPr>
          <w:lang w:val="fr-BE"/>
        </w:rPr>
        <w:t>Report</w:t>
      </w:r>
    </w:p>
    <w:p w14:paraId="07584AAA" w14:textId="2394B9D3" w:rsidR="00725BD5" w:rsidRDefault="00E84861" w:rsidP="006F0906">
      <w:pPr>
        <w:rPr>
          <w:lang w:val="fr-BE"/>
        </w:rPr>
      </w:pPr>
      <w:r w:rsidRPr="00725BD5">
        <w:rPr>
          <w:lang w:val="fr-BE"/>
        </w:rPr>
        <w:t>L’employeur peut reporter l’exercice par le travailleur d’une forme d’emploi comportant des conditions de travail plus prévisibles et plus sûres</w:t>
      </w:r>
      <w:r w:rsidR="00116653">
        <w:rPr>
          <w:lang w:val="fr-BE"/>
        </w:rPr>
        <w:t>, à condition de fournir</w:t>
      </w:r>
      <w:r w:rsidRPr="00725BD5">
        <w:rPr>
          <w:lang w:val="fr-BE"/>
        </w:rPr>
        <w:t xml:space="preserve"> des motifs concrets et justifiables liés au fonctionnement de son entreprise. Dans ce cadre, l’employeur tente également de tenir compte</w:t>
      </w:r>
      <w:r w:rsidR="000F1D4C">
        <w:rPr>
          <w:lang w:val="fr-BE"/>
        </w:rPr>
        <w:t xml:space="preserve"> </w:t>
      </w:r>
      <w:r w:rsidRPr="00725BD5">
        <w:rPr>
          <w:lang w:val="fr-BE"/>
        </w:rPr>
        <w:t xml:space="preserve">au maximum des besoins du travailleur. </w:t>
      </w:r>
      <w:r w:rsidR="00BE0AFA" w:rsidRPr="00725BD5">
        <w:rPr>
          <w:lang w:val="fr-BE"/>
        </w:rPr>
        <w:t>Sont par exemple des motifs justifiables liés au fonctionnement de l’entreprise</w:t>
      </w:r>
      <w:r w:rsidR="00E57832">
        <w:rPr>
          <w:lang w:val="fr-BE"/>
        </w:rPr>
        <w:t>,</w:t>
      </w:r>
      <w:r w:rsidR="00BE0AFA" w:rsidRPr="00725BD5">
        <w:rPr>
          <w:lang w:val="fr-BE"/>
        </w:rPr>
        <w:t xml:space="preserve"> les ressources et la capacité opérationnelle de l’entreprise. </w:t>
      </w:r>
      <w:r w:rsidR="00877B13">
        <w:rPr>
          <w:lang w:val="fr-BE"/>
        </w:rPr>
        <w:t xml:space="preserve">Le commentaire prévoit que l’employeur précise </w:t>
      </w:r>
      <w:r w:rsidR="00877B13" w:rsidRPr="00725BD5">
        <w:rPr>
          <w:lang w:val="fr-BE"/>
        </w:rPr>
        <w:t>de quelle manière il a tenu compte dans ce cadre des besoins du travailleur et de l’entreprise.</w:t>
      </w:r>
    </w:p>
    <w:p w14:paraId="2E0418E6" w14:textId="4D073625" w:rsidR="00CA3F3D" w:rsidRDefault="00E84861" w:rsidP="006F0906">
      <w:pPr>
        <w:rPr>
          <w:lang w:val="fr-BE"/>
        </w:rPr>
      </w:pPr>
      <w:r w:rsidRPr="00725BD5">
        <w:rPr>
          <w:lang w:val="fr-BE"/>
        </w:rPr>
        <w:t>L’employeur fournit</w:t>
      </w:r>
      <w:r w:rsidR="006558E9">
        <w:rPr>
          <w:lang w:val="fr-BE"/>
        </w:rPr>
        <w:t xml:space="preserve"> donc</w:t>
      </w:r>
      <w:r w:rsidRPr="00725BD5">
        <w:rPr>
          <w:lang w:val="fr-BE"/>
        </w:rPr>
        <w:t xml:space="preserve"> par écrit au travailleur</w:t>
      </w:r>
      <w:r w:rsidR="002936BD">
        <w:rPr>
          <w:lang w:val="fr-BE"/>
        </w:rPr>
        <w:t xml:space="preserve"> endéans le mois</w:t>
      </w:r>
      <w:r w:rsidR="000E3827">
        <w:rPr>
          <w:lang w:val="fr-BE"/>
        </w:rPr>
        <w:t xml:space="preserve"> (</w:t>
      </w:r>
      <w:r w:rsidR="002936BD">
        <w:rPr>
          <w:lang w:val="fr-BE"/>
        </w:rPr>
        <w:t>ou endéans les 2 mois s’il occupe moins de 20 travailleurs</w:t>
      </w:r>
      <w:r w:rsidR="000E3827">
        <w:rPr>
          <w:lang w:val="fr-BE"/>
        </w:rPr>
        <w:t>)</w:t>
      </w:r>
      <w:r w:rsidRPr="00725BD5">
        <w:rPr>
          <w:lang w:val="fr-BE"/>
        </w:rPr>
        <w:t xml:space="preserve"> les motifs concrets du report de l’exercice par le travailleur d’une forme d’emploi comportant des conditions de travail plus prévisibles et plus sûres. </w:t>
      </w:r>
      <w:r w:rsidR="00E57832">
        <w:rPr>
          <w:lang w:val="fr-BE"/>
        </w:rPr>
        <w:t xml:space="preserve">Le commentaire souligne que </w:t>
      </w:r>
      <w:r w:rsidR="006A2E65">
        <w:rPr>
          <w:lang w:val="fr-BE"/>
        </w:rPr>
        <w:t>c</w:t>
      </w:r>
      <w:r w:rsidR="00E57832" w:rsidRPr="00725BD5">
        <w:rPr>
          <w:lang w:val="fr-BE"/>
        </w:rPr>
        <w:t>es motifs sont justifiés concrètement lorsque l’employeur précise, dans le cadre de la situation concrète de la demande, quels problèmes spécifiques se posent en lien avec le fonctionnement de l’entreprise</w:t>
      </w:r>
      <w:r w:rsidR="006A2E65">
        <w:rPr>
          <w:lang w:val="fr-BE"/>
        </w:rPr>
        <w:t>.</w:t>
      </w:r>
    </w:p>
    <w:p w14:paraId="51FD63AF" w14:textId="183C473B" w:rsidR="00F24D5A" w:rsidRDefault="00BF3D50" w:rsidP="00F24D5A">
      <w:pPr>
        <w:rPr>
          <w:lang w:val="fr-BE"/>
        </w:rPr>
      </w:pPr>
      <w:r>
        <w:rPr>
          <w:lang w:val="fr-BE"/>
        </w:rPr>
        <w:t>Enfin, l</w:t>
      </w:r>
      <w:r w:rsidR="00E84861" w:rsidRPr="00725BD5">
        <w:rPr>
          <w:lang w:val="fr-BE"/>
        </w:rPr>
        <w:t xml:space="preserve">e report de l’exercice d’une forme d’emploi comportant des conditions de travail plus prévisibles et plus sûres ne peut avoir pour effet de rendre cet exercice impossible. </w:t>
      </w:r>
      <w:r w:rsidR="00B13892">
        <w:rPr>
          <w:lang w:val="fr-BE"/>
        </w:rPr>
        <w:t xml:space="preserve">La CCT n°161 ne fixe aucun délai maximum pour reporter </w:t>
      </w:r>
      <w:r w:rsidR="00143F3A">
        <w:rPr>
          <w:lang w:val="fr-BE"/>
        </w:rPr>
        <w:t>l’octroi d’une autre forme d’emploi. Par application de l’interdiction de tout abus de droit (</w:t>
      </w:r>
      <w:r w:rsidR="00390BA4">
        <w:rPr>
          <w:lang w:val="fr-BE"/>
        </w:rPr>
        <w:t xml:space="preserve">prévue dans l’art. 6 §5), il est </w:t>
      </w:r>
      <w:r w:rsidR="00342E97">
        <w:rPr>
          <w:lang w:val="fr-BE"/>
        </w:rPr>
        <w:t xml:space="preserve">cependant </w:t>
      </w:r>
      <w:r w:rsidR="00390BA4">
        <w:rPr>
          <w:lang w:val="fr-BE"/>
        </w:rPr>
        <w:lastRenderedPageBreak/>
        <w:t xml:space="preserve">évident que le délai de report doit être justifié </w:t>
      </w:r>
      <w:r w:rsidR="00B0328A">
        <w:rPr>
          <w:lang w:val="fr-BE"/>
        </w:rPr>
        <w:t xml:space="preserve">sur base de raisons objectives et ne peut pas être </w:t>
      </w:r>
      <w:r w:rsidR="00342E97">
        <w:rPr>
          <w:lang w:val="fr-BE"/>
        </w:rPr>
        <w:t>disproportionné</w:t>
      </w:r>
      <w:r w:rsidR="00B0328A">
        <w:rPr>
          <w:lang w:val="fr-BE"/>
        </w:rPr>
        <w:t xml:space="preserve">. De deux choses l’une : soit l’employeur reporte l’octroi et le démarrage d’une autre forme d’emploi en se fondant sur des </w:t>
      </w:r>
      <w:r w:rsidR="005F5462">
        <w:rPr>
          <w:lang w:val="fr-BE"/>
        </w:rPr>
        <w:t>raisons économiques ou organisationnelles, y compris l’impact sur les autres travailleurs</w:t>
      </w:r>
      <w:r w:rsidR="004C4D2D">
        <w:rPr>
          <w:lang w:val="fr-BE"/>
        </w:rPr>
        <w:t>, soit il refuse l’oct</w:t>
      </w:r>
      <w:r w:rsidR="0020439A">
        <w:rPr>
          <w:lang w:val="fr-BE"/>
        </w:rPr>
        <w:t>roi d’une autre forme de travail, de telle sorte que le travailleur pourra</w:t>
      </w:r>
      <w:r w:rsidR="00370D12">
        <w:rPr>
          <w:lang w:val="fr-BE"/>
        </w:rPr>
        <w:t xml:space="preserve">it réintroduire </w:t>
      </w:r>
      <w:r w:rsidR="00A01670">
        <w:rPr>
          <w:lang w:val="fr-BE"/>
        </w:rPr>
        <w:t xml:space="preserve">une nouvelle </w:t>
      </w:r>
      <w:r w:rsidR="00370D12">
        <w:rPr>
          <w:lang w:val="fr-BE"/>
        </w:rPr>
        <w:t>demande après l’écoulement du délai annuel.</w:t>
      </w:r>
    </w:p>
    <w:p w14:paraId="16B55D1B" w14:textId="22167118" w:rsidR="002F1199" w:rsidRDefault="002F1199" w:rsidP="00F24D5A">
      <w:pPr>
        <w:pStyle w:val="Heading4"/>
        <w:rPr>
          <w:lang w:val="fr-BE"/>
        </w:rPr>
      </w:pPr>
      <w:r>
        <w:rPr>
          <w:lang w:val="fr-BE"/>
        </w:rPr>
        <w:t>Refus</w:t>
      </w:r>
    </w:p>
    <w:p w14:paraId="08AF3658" w14:textId="77777777" w:rsidR="00FB38D3" w:rsidRDefault="00FB38D3" w:rsidP="006F0906">
      <w:pPr>
        <w:rPr>
          <w:lang w:val="fr-BE"/>
        </w:rPr>
      </w:pPr>
      <w:r w:rsidRPr="00FB38D3">
        <w:rPr>
          <w:lang w:val="fr-BE"/>
        </w:rPr>
        <w:t xml:space="preserve">L’employeur peut refuser la demande d’une forme d’emploi comportant des conditions de travail plus prévisibles et plus sûres formulée par le travailleur, en tenant compte du fonctionnement de son entreprise. Dans ce cadre, l’employeur tente également de tenir compte au maximum des besoins du travailleur. </w:t>
      </w:r>
    </w:p>
    <w:p w14:paraId="306A9C41" w14:textId="188038CB" w:rsidR="002F1199" w:rsidRDefault="00FB38D3" w:rsidP="006F0906">
      <w:pPr>
        <w:rPr>
          <w:lang w:val="fr-BE"/>
        </w:rPr>
      </w:pPr>
      <w:r w:rsidRPr="00FB38D3">
        <w:rPr>
          <w:lang w:val="fr-BE"/>
        </w:rPr>
        <w:t xml:space="preserve">L’employeur fournit par écrit au travailleur, dans le délai </w:t>
      </w:r>
      <w:r w:rsidR="00DF4425">
        <w:rPr>
          <w:lang w:val="fr-BE"/>
        </w:rPr>
        <w:t>requis (1 ou 2 mois – cf. supra)</w:t>
      </w:r>
      <w:r w:rsidRPr="00FB38D3">
        <w:rPr>
          <w:lang w:val="fr-BE"/>
        </w:rPr>
        <w:t xml:space="preserve">, les motifs concrets de son refus de l’exercice par le travailleur de la forme d’emploi comportant des conditions de travail plus prévisibles et plus sûres. </w:t>
      </w:r>
      <w:r w:rsidR="00DF4425">
        <w:rPr>
          <w:lang w:val="fr-BE"/>
        </w:rPr>
        <w:t xml:space="preserve">Par </w:t>
      </w:r>
      <w:r w:rsidRPr="00FB38D3">
        <w:rPr>
          <w:lang w:val="fr-BE"/>
        </w:rPr>
        <w:t>dérogation, l’employeur ne doit pas motiver à nouveau son refus si</w:t>
      </w:r>
      <w:r w:rsidR="00D06312">
        <w:rPr>
          <w:lang w:val="fr-BE"/>
        </w:rPr>
        <w:t>, l’année suivante,</w:t>
      </w:r>
      <w:r w:rsidRPr="00FB38D3">
        <w:rPr>
          <w:lang w:val="fr-BE"/>
        </w:rPr>
        <w:t xml:space="preserve"> une même demande émane du même travailleur, dont la situation est restée inchangée, et si la motivation de sa réponse concernant la situation du travailleur reste adéquate. Dans ce cas, il suffit de renvoyer à la motivation donnée préc</w:t>
      </w:r>
      <w:r w:rsidR="00237861">
        <w:rPr>
          <w:lang w:val="fr-BE"/>
        </w:rPr>
        <w:t>édemment.</w:t>
      </w:r>
    </w:p>
    <w:p w14:paraId="21ECBAB4" w14:textId="174C6FB6" w:rsidR="00237861" w:rsidRDefault="00760FAD" w:rsidP="006F0906">
      <w:pPr>
        <w:rPr>
          <w:lang w:val="fr-BE"/>
        </w:rPr>
      </w:pPr>
      <w:r>
        <w:rPr>
          <w:lang w:val="fr-BE"/>
        </w:rPr>
        <w:t>L</w:t>
      </w:r>
      <w:r w:rsidR="008B6AC5" w:rsidRPr="00563FFF">
        <w:rPr>
          <w:lang w:val="fr-BE"/>
        </w:rPr>
        <w:t>a réponse de l’employeur doit contenir les éléments qui permettront au travailleur de connaître les motifs concrets du refus de sa demande. Ces motifs sont justifiés concrètement lorsque l’employeur précise, dans le cadre de la situation concrète de la demande, quels problèmes spécifiques se posent en lien avec le fonctionnement de l’entreprise. Sont par exemple considérées comme des motifs concrets justifiables liés au fonctionnement de l’entreprise : les ressources, la capacité opérationnelle de l’entreprise et la non-disponibilité d’une autre forme d’emploi comportant des conditions de travail plus prévisibles et plus sûres. Est par exemple considéré comme un motif justifiable lié au travailleur, le fait qu’il ne dispose pas des qualifications et compétences requises pour une forme d’emploi comportant des conditions de travail plus prévisibles et plus sûres, disponible dans l’entreprise.</w:t>
      </w:r>
    </w:p>
    <w:p w14:paraId="776F6282" w14:textId="2583C42A" w:rsidR="00563FFF" w:rsidRPr="00FE0E5D" w:rsidRDefault="00FE0E5D" w:rsidP="006F0906">
      <w:pPr>
        <w:rPr>
          <w:lang w:val="fr-BE"/>
        </w:rPr>
      </w:pPr>
      <w:r>
        <w:rPr>
          <w:lang w:val="fr-BE"/>
        </w:rPr>
        <w:t xml:space="preserve">Le commentaire souligne enfin que l’employeur </w:t>
      </w:r>
      <w:r w:rsidR="00AF090B">
        <w:rPr>
          <w:lang w:val="fr-BE"/>
        </w:rPr>
        <w:t xml:space="preserve">devrait préciser dans sa réponse </w:t>
      </w:r>
      <w:r w:rsidRPr="00FE0E5D">
        <w:rPr>
          <w:lang w:val="fr-BE"/>
        </w:rPr>
        <w:t>de quelle manière il a tenu compte des besoins du travailleur et de l’entreprise.</w:t>
      </w:r>
    </w:p>
    <w:p w14:paraId="65C6770A" w14:textId="79E2EE7E" w:rsidR="002F1199" w:rsidRPr="006F0906" w:rsidRDefault="002F1199" w:rsidP="002F1199">
      <w:pPr>
        <w:pStyle w:val="Heading4"/>
        <w:rPr>
          <w:lang w:val="fr-BE"/>
        </w:rPr>
      </w:pPr>
      <w:r>
        <w:rPr>
          <w:lang w:val="fr-BE"/>
        </w:rPr>
        <w:t>Proposition alternative</w:t>
      </w:r>
    </w:p>
    <w:p w14:paraId="002F0B1D" w14:textId="77777777" w:rsidR="00E66910" w:rsidRDefault="00BD30F6" w:rsidP="00B66570">
      <w:pPr>
        <w:rPr>
          <w:lang w:val="fr-BE"/>
        </w:rPr>
      </w:pPr>
      <w:r w:rsidRPr="00BD30F6">
        <w:rPr>
          <w:lang w:val="fr-BE"/>
        </w:rPr>
        <w:t xml:space="preserve">L’employeur peut formuler une contreproposition motivée consistant en une autre forme d’emploi comportant des conditions de travail plus prévisibles et plus sûres que celle demandée par le travailleur, ou en une autre période d’exercice de celle-ci, qui répond mieux aux besoins et au fonctionnement de l’entreprise. Dans ce cadre, l’employeur tente également de tenir compte au maximum des besoins du travailleur. </w:t>
      </w:r>
    </w:p>
    <w:p w14:paraId="06F7EEEA" w14:textId="04E42892" w:rsidR="00B66570" w:rsidRDefault="00BD30F6" w:rsidP="00B66570">
      <w:pPr>
        <w:rPr>
          <w:lang w:val="fr-BE"/>
        </w:rPr>
      </w:pPr>
      <w:r w:rsidRPr="00BD30F6">
        <w:rPr>
          <w:lang w:val="fr-BE"/>
        </w:rPr>
        <w:t xml:space="preserve">L’employeur transmet par écrit dans le délai </w:t>
      </w:r>
      <w:r w:rsidR="00E66910">
        <w:rPr>
          <w:lang w:val="fr-BE"/>
        </w:rPr>
        <w:t>requis (1 ou 2 mois – cf. supra)</w:t>
      </w:r>
      <w:r w:rsidRPr="00BD30F6">
        <w:rPr>
          <w:lang w:val="fr-BE"/>
        </w:rPr>
        <w:t xml:space="preserve">, cette contreproposition au travailleur. </w:t>
      </w:r>
      <w:r w:rsidRPr="00E66910">
        <w:rPr>
          <w:lang w:val="fr-BE"/>
        </w:rPr>
        <w:t>Celui-ci peut accepter ou refuser la contreproposition.</w:t>
      </w:r>
    </w:p>
    <w:p w14:paraId="3FF51D90" w14:textId="4FA92928" w:rsidR="00990EA5" w:rsidRDefault="00990EA5" w:rsidP="00990EA5">
      <w:pPr>
        <w:pStyle w:val="Heading1"/>
        <w:rPr>
          <w:lang w:val="fr-BE"/>
        </w:rPr>
      </w:pPr>
      <w:bookmarkStart w:id="13" w:name="_Toc115962335"/>
      <w:r>
        <w:rPr>
          <w:lang w:val="fr-BE"/>
        </w:rPr>
        <w:lastRenderedPageBreak/>
        <w:t xml:space="preserve">Concertation collective </w:t>
      </w:r>
      <w:r w:rsidR="00692B46">
        <w:rPr>
          <w:lang w:val="fr-BE"/>
        </w:rPr>
        <w:t>facultative</w:t>
      </w:r>
      <w:r w:rsidR="00101488">
        <w:rPr>
          <w:lang w:val="fr-BE"/>
        </w:rPr>
        <w:t xml:space="preserve"> (art. 13)</w:t>
      </w:r>
      <w:bookmarkEnd w:id="13"/>
    </w:p>
    <w:p w14:paraId="640B0EFB" w14:textId="38BEBA5D" w:rsidR="00990EA5" w:rsidRDefault="00990EA5" w:rsidP="00990EA5">
      <w:pPr>
        <w:rPr>
          <w:lang w:val="fr-BE"/>
        </w:rPr>
      </w:pPr>
      <w:r w:rsidRPr="00990EA5">
        <w:rPr>
          <w:lang w:val="fr-BE"/>
        </w:rPr>
        <w:t xml:space="preserve">La partie la plus diligente peut lancer une concertation au sein de l’organe </w:t>
      </w:r>
      <w:r>
        <w:rPr>
          <w:lang w:val="fr-BE"/>
        </w:rPr>
        <w:t xml:space="preserve">de concertation </w:t>
      </w:r>
      <w:r w:rsidRPr="00990EA5">
        <w:rPr>
          <w:lang w:val="fr-BE"/>
        </w:rPr>
        <w:t>qui est compétent à cet égard dans l’entreprise au sujet des formes d’emploi comportant des conditions de travail plus prévisibles et plus sûres.</w:t>
      </w:r>
    </w:p>
    <w:p w14:paraId="0800454D" w14:textId="7A1769AD" w:rsidR="00B44BDE" w:rsidRDefault="00B44BDE" w:rsidP="00990EA5">
      <w:pPr>
        <w:rPr>
          <w:lang w:val="fr-BE"/>
        </w:rPr>
      </w:pPr>
      <w:r>
        <w:rPr>
          <w:lang w:val="fr-BE"/>
        </w:rPr>
        <w:t>Il s’agit d</w:t>
      </w:r>
      <w:r w:rsidR="006679E9">
        <w:rPr>
          <w:lang w:val="fr-BE"/>
        </w:rPr>
        <w:t>e discuter des modalités d’organisation du travail de manière collective</w:t>
      </w:r>
      <w:r w:rsidR="00D2601C">
        <w:rPr>
          <w:lang w:val="fr-BE"/>
        </w:rPr>
        <w:t xml:space="preserve"> </w:t>
      </w:r>
      <w:r w:rsidR="006679E9">
        <w:rPr>
          <w:lang w:val="fr-BE"/>
        </w:rPr>
        <w:t>et totalement anonyme.</w:t>
      </w:r>
      <w:r w:rsidR="00B712DF">
        <w:rPr>
          <w:lang w:val="fr-BE"/>
        </w:rPr>
        <w:t xml:space="preserve"> C’est une application de la compétence d’information et de consultation des organes de concertation</w:t>
      </w:r>
      <w:r w:rsidR="006679E9">
        <w:rPr>
          <w:lang w:val="fr-BE"/>
        </w:rPr>
        <w:t xml:space="preserve"> </w:t>
      </w:r>
      <w:r w:rsidR="007474A6">
        <w:rPr>
          <w:lang w:val="fr-BE"/>
        </w:rPr>
        <w:t>en matière d’organisation du travail. Nous soulignons que</w:t>
      </w:r>
      <w:r w:rsidR="00D36496">
        <w:rPr>
          <w:lang w:val="fr-BE"/>
        </w:rPr>
        <w:t xml:space="preserve"> les</w:t>
      </w:r>
      <w:r w:rsidR="006679E9">
        <w:rPr>
          <w:lang w:val="fr-BE"/>
        </w:rPr>
        <w:t xml:space="preserve"> organes de concertation sociale (CE, à défaut DS, à défaut CPPT) n’ont aucune compétence ni légitimité pour traiter des dossiers à caractère individuel.</w:t>
      </w:r>
    </w:p>
    <w:p w14:paraId="5993DCC2" w14:textId="501E9E6F" w:rsidR="00D31658" w:rsidRDefault="00D31658" w:rsidP="002C6052">
      <w:pPr>
        <w:pStyle w:val="Heading1"/>
        <w:rPr>
          <w:lang w:val="fr-BE"/>
        </w:rPr>
      </w:pPr>
      <w:bookmarkStart w:id="14" w:name="_Toc115962336"/>
      <w:r>
        <w:rPr>
          <w:lang w:val="fr-BE"/>
        </w:rPr>
        <w:t>Garanties de l’exercice du droit</w:t>
      </w:r>
      <w:r w:rsidR="001540CF">
        <w:rPr>
          <w:lang w:val="fr-BE"/>
        </w:rPr>
        <w:t xml:space="preserve"> (art.</w:t>
      </w:r>
      <w:r w:rsidR="004C5275">
        <w:rPr>
          <w:lang w:val="fr-BE"/>
        </w:rPr>
        <w:t xml:space="preserve"> 14 à 17)</w:t>
      </w:r>
      <w:bookmarkEnd w:id="14"/>
    </w:p>
    <w:p w14:paraId="6F3E0F0D" w14:textId="2D2B8D5F" w:rsidR="009B3E8C" w:rsidRDefault="002C6052" w:rsidP="00EB398F">
      <w:pPr>
        <w:pStyle w:val="Heading2"/>
        <w:rPr>
          <w:lang w:val="fr-BE"/>
        </w:rPr>
      </w:pPr>
      <w:bookmarkStart w:id="15" w:name="_Toc115962337"/>
      <w:r>
        <w:rPr>
          <w:lang w:val="fr-BE"/>
        </w:rPr>
        <w:t>Protection</w:t>
      </w:r>
      <w:r w:rsidR="006336B7">
        <w:rPr>
          <w:lang w:val="fr-BE"/>
        </w:rPr>
        <w:t>s</w:t>
      </w:r>
      <w:r>
        <w:rPr>
          <w:lang w:val="fr-BE"/>
        </w:rPr>
        <w:t xml:space="preserve"> contre </w:t>
      </w:r>
      <w:r w:rsidR="00EB398F">
        <w:rPr>
          <w:lang w:val="fr-BE"/>
        </w:rPr>
        <w:t>tout</w:t>
      </w:r>
      <w:r>
        <w:rPr>
          <w:lang w:val="fr-BE"/>
        </w:rPr>
        <w:t xml:space="preserve"> </w:t>
      </w:r>
      <w:r w:rsidR="008023FC">
        <w:rPr>
          <w:lang w:val="fr-BE"/>
        </w:rPr>
        <w:t>traitement défavorable</w:t>
      </w:r>
      <w:r w:rsidR="006336B7">
        <w:rPr>
          <w:lang w:val="fr-BE"/>
        </w:rPr>
        <w:t xml:space="preserve"> et contre le licenciement</w:t>
      </w:r>
      <w:r w:rsidR="0053475E">
        <w:rPr>
          <w:lang w:val="fr-BE"/>
        </w:rPr>
        <w:t xml:space="preserve"> : </w:t>
      </w:r>
      <w:r w:rsidR="00B71E81">
        <w:rPr>
          <w:lang w:val="fr-BE"/>
        </w:rPr>
        <w:t>dispositions communes</w:t>
      </w:r>
      <w:bookmarkEnd w:id="15"/>
    </w:p>
    <w:p w14:paraId="4F8672F6" w14:textId="77777777" w:rsidR="00C41818" w:rsidRDefault="00C41818" w:rsidP="00C41818">
      <w:pPr>
        <w:pStyle w:val="Heading3"/>
        <w:rPr>
          <w:lang w:val="fr-BE"/>
        </w:rPr>
      </w:pPr>
      <w:bookmarkStart w:id="16" w:name="_Toc115962338"/>
      <w:r>
        <w:rPr>
          <w:lang w:val="fr-BE"/>
        </w:rPr>
        <w:t>Principe</w:t>
      </w:r>
      <w:bookmarkEnd w:id="16"/>
    </w:p>
    <w:p w14:paraId="1116E009" w14:textId="56998C03" w:rsidR="008023FC" w:rsidRDefault="00D95E1E" w:rsidP="008023FC">
      <w:pPr>
        <w:rPr>
          <w:lang w:val="fr-BE"/>
        </w:rPr>
      </w:pPr>
      <w:r w:rsidRPr="00D95E1E">
        <w:rPr>
          <w:lang w:val="fr-BE"/>
        </w:rPr>
        <w:t xml:space="preserve">L’employeur ne peut adopter aucune mesure défavorable </w:t>
      </w:r>
      <w:r w:rsidR="001065A4">
        <w:rPr>
          <w:lang w:val="fr-BE"/>
        </w:rPr>
        <w:t>ni licencier le</w:t>
      </w:r>
      <w:r w:rsidRPr="00D95E1E">
        <w:rPr>
          <w:lang w:val="fr-BE"/>
        </w:rPr>
        <w:t xml:space="preserve"> travailleur qui </w:t>
      </w:r>
      <w:r w:rsidR="001065A4">
        <w:rPr>
          <w:lang w:val="fr-BE"/>
        </w:rPr>
        <w:t xml:space="preserve">a </w:t>
      </w:r>
      <w:r w:rsidRPr="00D95E1E">
        <w:rPr>
          <w:lang w:val="fr-BE"/>
        </w:rPr>
        <w:t xml:space="preserve">introduit une demande d’une autre forme d’emploi comportant des conditions de travail plus prévisibles et plus sûres, sauf pour des motifs qui sont étrangers à l’exercice des droits découlant de la </w:t>
      </w:r>
      <w:r w:rsidR="00FF5648">
        <w:rPr>
          <w:lang w:val="fr-BE"/>
        </w:rPr>
        <w:t>CCT n°161</w:t>
      </w:r>
      <w:r w:rsidRPr="00D95E1E">
        <w:rPr>
          <w:lang w:val="fr-BE"/>
        </w:rPr>
        <w:t>.</w:t>
      </w:r>
    </w:p>
    <w:p w14:paraId="52618375" w14:textId="04B80977" w:rsidR="00C41818" w:rsidRDefault="00C41818" w:rsidP="008D3E56">
      <w:pPr>
        <w:pStyle w:val="Heading3"/>
        <w:rPr>
          <w:lang w:val="fr-BE"/>
        </w:rPr>
      </w:pPr>
      <w:bookmarkStart w:id="17" w:name="_Toc115962339"/>
      <w:r>
        <w:rPr>
          <w:lang w:val="fr-BE"/>
        </w:rPr>
        <w:t>Période de protec</w:t>
      </w:r>
      <w:r w:rsidR="004A5185">
        <w:rPr>
          <w:lang w:val="fr-BE"/>
        </w:rPr>
        <w:t>tion</w:t>
      </w:r>
      <w:bookmarkEnd w:id="17"/>
    </w:p>
    <w:p w14:paraId="63D5E9C9" w14:textId="77777777" w:rsidR="008D3E56" w:rsidRDefault="00330A07" w:rsidP="008023FC">
      <w:pPr>
        <w:rPr>
          <w:lang w:val="fr-BE"/>
        </w:rPr>
      </w:pPr>
      <w:r w:rsidRPr="00343438">
        <w:rPr>
          <w:lang w:val="fr-BE"/>
        </w:rPr>
        <w:t xml:space="preserve">Cette protection </w:t>
      </w:r>
      <w:r w:rsidR="005A2FB5">
        <w:rPr>
          <w:lang w:val="fr-BE"/>
        </w:rPr>
        <w:t>commence à courir</w:t>
      </w:r>
      <w:r w:rsidRPr="00343438">
        <w:rPr>
          <w:lang w:val="fr-BE"/>
        </w:rPr>
        <w:t xml:space="preserve"> à partir de la demande écrite du travailleur</w:t>
      </w:r>
      <w:r w:rsidR="0037794D">
        <w:rPr>
          <w:lang w:val="fr-BE"/>
        </w:rPr>
        <w:t xml:space="preserve"> et se termine</w:t>
      </w:r>
      <w:r w:rsidRPr="00343438">
        <w:rPr>
          <w:lang w:val="fr-BE"/>
        </w:rPr>
        <w:t xml:space="preserve"> deux mois après le début de l’exercice par le travailleur de la forme d’emploi comportant des conditions de travail plus prévisibles et plus sûres ou deux mois après le refus de la demande par l’employeur. </w:t>
      </w:r>
    </w:p>
    <w:p w14:paraId="638072B9" w14:textId="3D1B854F" w:rsidR="006A5EF3" w:rsidRDefault="006A5EF3" w:rsidP="008023FC">
      <w:pPr>
        <w:rPr>
          <w:lang w:val="fr-BE"/>
        </w:rPr>
      </w:pPr>
      <w:r>
        <w:rPr>
          <w:lang w:val="fr-BE"/>
        </w:rPr>
        <w:t>La CCT précise que</w:t>
      </w:r>
      <w:r w:rsidR="001B32BD">
        <w:rPr>
          <w:lang w:val="fr-BE"/>
        </w:rPr>
        <w:t xml:space="preserve"> la charge de la preuve de la date de la demande repose sur le travailleur : </w:t>
      </w:r>
      <w:r w:rsidR="00330B8F">
        <w:rPr>
          <w:lang w:val="fr-BE"/>
        </w:rPr>
        <w:t>concrètement</w:t>
      </w:r>
      <w:r>
        <w:rPr>
          <w:lang w:val="fr-BE"/>
        </w:rPr>
        <w:t>,</w:t>
      </w:r>
      <w:r w:rsidR="00F323F7">
        <w:rPr>
          <w:lang w:val="fr-BE"/>
        </w:rPr>
        <w:t xml:space="preserve"> l</w:t>
      </w:r>
      <w:r w:rsidRPr="00343438">
        <w:rPr>
          <w:lang w:val="fr-BE"/>
        </w:rPr>
        <w:t xml:space="preserve">e travailleur </w:t>
      </w:r>
      <w:r w:rsidR="00330B8F">
        <w:rPr>
          <w:lang w:val="fr-BE"/>
        </w:rPr>
        <w:t xml:space="preserve">doit </w:t>
      </w:r>
      <w:r w:rsidRPr="00343438">
        <w:rPr>
          <w:lang w:val="fr-BE"/>
        </w:rPr>
        <w:t>démontre</w:t>
      </w:r>
      <w:r w:rsidR="00330B8F">
        <w:rPr>
          <w:lang w:val="fr-BE"/>
        </w:rPr>
        <w:t>r lui-même</w:t>
      </w:r>
      <w:r w:rsidRPr="00343438">
        <w:rPr>
          <w:lang w:val="fr-BE"/>
        </w:rPr>
        <w:t xml:space="preserve"> avoir introduit la demande, de sorte que l’employeur en avait connaissance ou pouvait raisonnablement en avoir connaissance</w:t>
      </w:r>
      <w:r w:rsidR="00F323F7">
        <w:rPr>
          <w:lang w:val="fr-BE"/>
        </w:rPr>
        <w:t>.</w:t>
      </w:r>
    </w:p>
    <w:p w14:paraId="63879605" w14:textId="77777777" w:rsidR="008E03F0" w:rsidRDefault="00A36235" w:rsidP="008023FC">
      <w:pPr>
        <w:rPr>
          <w:lang w:val="fr-BE"/>
        </w:rPr>
      </w:pPr>
      <w:r>
        <w:rPr>
          <w:lang w:val="fr-BE"/>
        </w:rPr>
        <w:t>L</w:t>
      </w:r>
      <w:r w:rsidRPr="00343438">
        <w:rPr>
          <w:lang w:val="fr-BE"/>
        </w:rPr>
        <w:t>orsqu’aucune forme d’emploi comportant des conditions de travail plus prévisibles et plus sûres n’est entamée</w:t>
      </w:r>
      <w:r w:rsidR="008E03F0">
        <w:rPr>
          <w:lang w:val="fr-BE"/>
        </w:rPr>
        <w:t>, pour quelque raison que ce soit,</w:t>
      </w:r>
      <w:r w:rsidRPr="00343438">
        <w:rPr>
          <w:lang w:val="fr-BE"/>
        </w:rPr>
        <w:t xml:space="preserve"> </w:t>
      </w:r>
      <w:r w:rsidR="00330A07" w:rsidRPr="00343438">
        <w:rPr>
          <w:lang w:val="fr-BE"/>
        </w:rPr>
        <w:t xml:space="preserve">la protection prend fin deux mois après la date de début demandée par le travailleur. </w:t>
      </w:r>
    </w:p>
    <w:p w14:paraId="4F0DF035" w14:textId="77777777" w:rsidR="008B70BD" w:rsidRDefault="00330A07" w:rsidP="008023FC">
      <w:pPr>
        <w:rPr>
          <w:lang w:val="fr-BE"/>
        </w:rPr>
      </w:pPr>
      <w:r w:rsidRPr="00343438">
        <w:rPr>
          <w:lang w:val="fr-BE"/>
        </w:rPr>
        <w:t>La protection couvre par ailleurs la période de report</w:t>
      </w:r>
      <w:r w:rsidR="008E03F0">
        <w:rPr>
          <w:lang w:val="fr-BE"/>
        </w:rPr>
        <w:t xml:space="preserve"> éventuel</w:t>
      </w:r>
      <w:r w:rsidRPr="00343438">
        <w:rPr>
          <w:lang w:val="fr-BE"/>
        </w:rPr>
        <w:t xml:space="preserve"> par l’employeur</w:t>
      </w:r>
      <w:r w:rsidR="008B70BD">
        <w:rPr>
          <w:lang w:val="fr-BE"/>
        </w:rPr>
        <w:t>.</w:t>
      </w:r>
    </w:p>
    <w:p w14:paraId="741DF6AC" w14:textId="353A684F" w:rsidR="008B70BD" w:rsidRDefault="008B70BD" w:rsidP="008B70BD">
      <w:pPr>
        <w:pStyle w:val="Heading3"/>
        <w:rPr>
          <w:lang w:val="fr-BE"/>
        </w:rPr>
      </w:pPr>
      <w:bookmarkStart w:id="18" w:name="_Toc115962340"/>
      <w:r>
        <w:rPr>
          <w:lang w:val="fr-BE"/>
        </w:rPr>
        <w:t>Mécanisme de protection</w:t>
      </w:r>
      <w:bookmarkEnd w:id="18"/>
    </w:p>
    <w:p w14:paraId="478EE340" w14:textId="6AEF5FD1" w:rsidR="00B71E81" w:rsidRDefault="00330A07" w:rsidP="008023FC">
      <w:pPr>
        <w:rPr>
          <w:lang w:val="fr-BE"/>
        </w:rPr>
      </w:pPr>
      <w:r w:rsidRPr="00343438">
        <w:rPr>
          <w:lang w:val="fr-BE"/>
        </w:rPr>
        <w:t xml:space="preserve">Lorsqu’un travailleur, qui considère qu’il a été soumis à une mesure défavorable pour des motifs liés à l’exercice des droits découlant de la </w:t>
      </w:r>
      <w:r w:rsidR="008901C7">
        <w:rPr>
          <w:lang w:val="fr-BE"/>
        </w:rPr>
        <w:t>CCT n°161 ou qu</w:t>
      </w:r>
      <w:r w:rsidR="0053475E">
        <w:rPr>
          <w:lang w:val="fr-BE"/>
        </w:rPr>
        <w:t>’il a été licencié pour de tels motifs</w:t>
      </w:r>
      <w:r w:rsidRPr="00343438">
        <w:rPr>
          <w:lang w:val="fr-BE"/>
        </w:rPr>
        <w:t xml:space="preserve">, établit, devant le tribunal compétent, des faits laissant présumer que tel est le cas, il incombe à l’employeur de prouver que la mesure défavorable était fondée sur des motifs qui sont étrangers à l’exercice des droits découlant de la présente convention collective de travail. </w:t>
      </w:r>
    </w:p>
    <w:p w14:paraId="7C3BB86E" w14:textId="7C65BD07" w:rsidR="000E012B" w:rsidRDefault="004556D6" w:rsidP="008023FC">
      <w:pPr>
        <w:rPr>
          <w:lang w:val="fr-BE"/>
        </w:rPr>
      </w:pPr>
      <w:r>
        <w:rPr>
          <w:lang w:val="fr-BE"/>
        </w:rPr>
        <w:lastRenderedPageBreak/>
        <w:t>La CCT n°161 reprend ici le mécanisme</w:t>
      </w:r>
      <w:r w:rsidR="00692304">
        <w:rPr>
          <w:rStyle w:val="FootnoteReference"/>
          <w:lang w:val="fr-BE"/>
        </w:rPr>
        <w:footnoteReference w:id="5"/>
      </w:r>
      <w:r>
        <w:rPr>
          <w:lang w:val="fr-BE"/>
        </w:rPr>
        <w:t xml:space="preserve"> classique d</w:t>
      </w:r>
      <w:r w:rsidR="00884701">
        <w:rPr>
          <w:lang w:val="fr-BE"/>
        </w:rPr>
        <w:t>e l’aménagement</w:t>
      </w:r>
      <w:r>
        <w:rPr>
          <w:lang w:val="fr-BE"/>
        </w:rPr>
        <w:t xml:space="preserve"> de la charge de la preuve</w:t>
      </w:r>
      <w:r w:rsidR="00884701">
        <w:rPr>
          <w:lang w:val="fr-BE"/>
        </w:rPr>
        <w:t xml:space="preserve"> entre le travailleur</w:t>
      </w:r>
      <w:r w:rsidR="00294CD5">
        <w:rPr>
          <w:lang w:val="fr-BE"/>
        </w:rPr>
        <w:t xml:space="preserve"> et l’employeur, sachant que l’employeur doit prouver les motifs étrangers à la demande</w:t>
      </w:r>
      <w:r w:rsidR="00EA713A">
        <w:rPr>
          <w:lang w:val="fr-BE"/>
        </w:rPr>
        <w:t xml:space="preserve"> d’un</w:t>
      </w:r>
      <w:r w:rsidR="00E600E7">
        <w:rPr>
          <w:lang w:val="fr-BE"/>
        </w:rPr>
        <w:t>e autre forme d’emploi.</w:t>
      </w:r>
    </w:p>
    <w:p w14:paraId="44D308E4" w14:textId="1484BA2F" w:rsidR="00EC0AC3" w:rsidRDefault="00731A15" w:rsidP="008023FC">
      <w:pPr>
        <w:rPr>
          <w:lang w:val="fr-BE"/>
        </w:rPr>
      </w:pPr>
      <w:r w:rsidRPr="00FD2C75">
        <w:rPr>
          <w:lang w:val="fr-BE"/>
        </w:rPr>
        <w:t>En pratique, s’il y a une contestation judiciaire, l</w:t>
      </w:r>
      <w:r w:rsidR="009705C2" w:rsidRPr="00FD2C75">
        <w:rPr>
          <w:lang w:val="fr-BE"/>
        </w:rPr>
        <w:t xml:space="preserve">’employeur </w:t>
      </w:r>
      <w:r w:rsidR="00D849DE" w:rsidRPr="00FD2C75">
        <w:rPr>
          <w:lang w:val="fr-BE"/>
        </w:rPr>
        <w:t>devra</w:t>
      </w:r>
      <w:r w:rsidR="009705C2" w:rsidRPr="00FD2C75">
        <w:rPr>
          <w:lang w:val="fr-BE"/>
        </w:rPr>
        <w:t xml:space="preserve"> prouver que sa décision</w:t>
      </w:r>
      <w:r w:rsidR="00690C24" w:rsidRPr="00FD2C75">
        <w:rPr>
          <w:lang w:val="fr-BE"/>
        </w:rPr>
        <w:t xml:space="preserve"> </w:t>
      </w:r>
      <w:r w:rsidR="00D849DE" w:rsidRPr="00FD2C75">
        <w:rPr>
          <w:lang w:val="fr-BE"/>
        </w:rPr>
        <w:t>est</w:t>
      </w:r>
      <w:r w:rsidR="00690C24" w:rsidRPr="00FD2C75">
        <w:rPr>
          <w:lang w:val="fr-BE"/>
        </w:rPr>
        <w:t xml:space="preserve"> fondée sur une</w:t>
      </w:r>
      <w:r w:rsidR="00EC0AC3" w:rsidRPr="00FD2C75">
        <w:rPr>
          <w:lang w:val="fr-BE"/>
        </w:rPr>
        <w:t xml:space="preserve"> raison d’ordre </w:t>
      </w:r>
      <w:r w:rsidR="00690C24" w:rsidRPr="00FD2C75">
        <w:rPr>
          <w:lang w:val="fr-BE"/>
        </w:rPr>
        <w:t xml:space="preserve">organisationnel, </w:t>
      </w:r>
      <w:r w:rsidR="00EC0AC3" w:rsidRPr="00FD2C75">
        <w:rPr>
          <w:lang w:val="fr-BE"/>
        </w:rPr>
        <w:t xml:space="preserve">économique ou technique (ex. : une restructuration, la perte importante d’une clientèle, une baisse du chiffre d’affaires), </w:t>
      </w:r>
      <w:r w:rsidR="00B84D46" w:rsidRPr="00FD2C75">
        <w:rPr>
          <w:lang w:val="fr-BE"/>
        </w:rPr>
        <w:t>ou bien sur une raison qui trouve</w:t>
      </w:r>
      <w:r w:rsidR="00EC0AC3" w:rsidRPr="00FD2C75">
        <w:rPr>
          <w:lang w:val="fr-BE"/>
        </w:rPr>
        <w:t xml:space="preserve"> son origine dans le comportement du travailleur (ex. : actes d’insubordination, absences injustifiées, manquement professionnel, etc.).</w:t>
      </w:r>
      <w:r w:rsidRPr="00FD2C75">
        <w:rPr>
          <w:lang w:val="fr-BE"/>
        </w:rPr>
        <w:t xml:space="preserve"> Le motif étranger est laissé à l’appréciation du tribunal du travail.</w:t>
      </w:r>
    </w:p>
    <w:p w14:paraId="59BE2A3E" w14:textId="3A020B32" w:rsidR="00D95E1E" w:rsidRDefault="00330A07" w:rsidP="008023FC">
      <w:pPr>
        <w:rPr>
          <w:lang w:val="fr-BE"/>
        </w:rPr>
      </w:pPr>
      <w:r w:rsidRPr="00343438">
        <w:rPr>
          <w:lang w:val="fr-BE"/>
        </w:rPr>
        <w:t>Lorsque l</w:t>
      </w:r>
      <w:r w:rsidR="009D2DF0">
        <w:rPr>
          <w:lang w:val="fr-BE"/>
        </w:rPr>
        <w:t>e</w:t>
      </w:r>
      <w:r w:rsidR="006F61BD">
        <w:rPr>
          <w:lang w:val="fr-BE"/>
        </w:rPr>
        <w:t xml:space="preserve"> ou les motifs étrangers ne sont pas suffisamment prouvés par l’employeur</w:t>
      </w:r>
      <w:r w:rsidR="008172C5">
        <w:rPr>
          <w:lang w:val="fr-BE"/>
        </w:rPr>
        <w:t xml:space="preserve"> et que</w:t>
      </w:r>
      <w:r w:rsidR="006F61BD">
        <w:rPr>
          <w:lang w:val="fr-BE"/>
        </w:rPr>
        <w:t xml:space="preserve"> le</w:t>
      </w:r>
      <w:r w:rsidR="009D2DF0">
        <w:rPr>
          <w:lang w:val="fr-BE"/>
        </w:rPr>
        <w:t xml:space="preserve"> tribunal du travail estime que l</w:t>
      </w:r>
      <w:r w:rsidRPr="00343438">
        <w:rPr>
          <w:lang w:val="fr-BE"/>
        </w:rPr>
        <w:t xml:space="preserve">a mesure défavorable </w:t>
      </w:r>
      <w:r w:rsidR="00B71E81">
        <w:rPr>
          <w:lang w:val="fr-BE"/>
        </w:rPr>
        <w:t>ou le licenciement</w:t>
      </w:r>
      <w:r w:rsidR="009D2DF0">
        <w:rPr>
          <w:lang w:val="fr-BE"/>
        </w:rPr>
        <w:t xml:space="preserve"> ne sont pas</w:t>
      </w:r>
      <w:r w:rsidR="006F61BD">
        <w:rPr>
          <w:lang w:val="fr-BE"/>
        </w:rPr>
        <w:t xml:space="preserve"> fondés sur </w:t>
      </w:r>
      <w:r w:rsidR="00D67CE6">
        <w:rPr>
          <w:lang w:val="fr-BE"/>
        </w:rPr>
        <w:t>des motifs étrangers</w:t>
      </w:r>
      <w:r w:rsidR="009917CC">
        <w:rPr>
          <w:lang w:val="fr-BE"/>
        </w:rPr>
        <w:t>,</w:t>
      </w:r>
      <w:r w:rsidR="00765706">
        <w:rPr>
          <w:lang w:val="fr-BE"/>
        </w:rPr>
        <w:t xml:space="preserve"> il </w:t>
      </w:r>
      <w:r w:rsidR="00CF4773">
        <w:rPr>
          <w:lang w:val="fr-BE"/>
        </w:rPr>
        <w:t>condamne l’employeur à payer une indemnité</w:t>
      </w:r>
      <w:r w:rsidR="006E502B">
        <w:rPr>
          <w:lang w:val="fr-BE"/>
        </w:rPr>
        <w:t xml:space="preserve"> </w:t>
      </w:r>
      <w:r w:rsidR="000461B7">
        <w:rPr>
          <w:lang w:val="fr-BE"/>
        </w:rPr>
        <w:t>non-forfaitaire</w:t>
      </w:r>
      <w:r w:rsidR="000A139B">
        <w:rPr>
          <w:lang w:val="fr-BE"/>
        </w:rPr>
        <w:t>. La C</w:t>
      </w:r>
      <w:r w:rsidR="000A7014">
        <w:rPr>
          <w:lang w:val="fr-BE"/>
        </w:rPr>
        <w:t>C</w:t>
      </w:r>
      <w:r w:rsidR="000A139B">
        <w:rPr>
          <w:lang w:val="fr-BE"/>
        </w:rPr>
        <w:t>T n°161 introduit deux fourchettes d</w:t>
      </w:r>
      <w:r w:rsidR="000A7014">
        <w:rPr>
          <w:lang w:val="fr-BE"/>
        </w:rPr>
        <w:t>’indemnisation</w:t>
      </w:r>
      <w:r w:rsidR="000461B7">
        <w:rPr>
          <w:lang w:val="fr-BE"/>
        </w:rPr>
        <w:t xml:space="preserve"> </w:t>
      </w:r>
      <w:r w:rsidR="006E502B">
        <w:rPr>
          <w:lang w:val="fr-BE"/>
        </w:rPr>
        <w:t xml:space="preserve">(cf. </w:t>
      </w:r>
      <w:r w:rsidR="009917CC">
        <w:rPr>
          <w:lang w:val="fr-BE"/>
        </w:rPr>
        <w:t xml:space="preserve">montants </w:t>
      </w:r>
      <w:r w:rsidR="009542BC">
        <w:rPr>
          <w:lang w:val="fr-BE"/>
        </w:rPr>
        <w:t xml:space="preserve">précisés sous 7.2.3. et 7.3.2. </w:t>
      </w:r>
      <w:r w:rsidR="006E502B">
        <w:rPr>
          <w:lang w:val="fr-BE"/>
        </w:rPr>
        <w:t>infra</w:t>
      </w:r>
      <w:r w:rsidR="000461B7">
        <w:rPr>
          <w:lang w:val="fr-BE"/>
        </w:rPr>
        <w:t>)</w:t>
      </w:r>
      <w:r w:rsidR="009917CC">
        <w:rPr>
          <w:lang w:val="fr-BE"/>
        </w:rPr>
        <w:t xml:space="preserve">. </w:t>
      </w:r>
      <w:r w:rsidR="00D40F2E">
        <w:rPr>
          <w:lang w:val="fr-BE"/>
        </w:rPr>
        <w:t>Le principe de la fourchette</w:t>
      </w:r>
      <w:r w:rsidR="009917CC">
        <w:rPr>
          <w:lang w:val="fr-BE"/>
        </w:rPr>
        <w:t xml:space="preserve"> </w:t>
      </w:r>
      <w:r w:rsidR="00621360">
        <w:rPr>
          <w:lang w:val="fr-BE"/>
        </w:rPr>
        <w:t>étai</w:t>
      </w:r>
      <w:r w:rsidR="009917CC">
        <w:rPr>
          <w:lang w:val="fr-BE"/>
        </w:rPr>
        <w:t xml:space="preserve">t essentiel pour la FEB </w:t>
      </w:r>
      <w:r w:rsidR="00D40F2E">
        <w:rPr>
          <w:lang w:val="fr-BE"/>
        </w:rPr>
        <w:t xml:space="preserve">afin </w:t>
      </w:r>
      <w:r w:rsidR="009917CC">
        <w:rPr>
          <w:lang w:val="fr-BE"/>
        </w:rPr>
        <w:t>que le tribunal tienne</w:t>
      </w:r>
      <w:r w:rsidR="000461B7">
        <w:rPr>
          <w:lang w:val="fr-BE"/>
        </w:rPr>
        <w:t xml:space="preserve"> compte de l’ensem</w:t>
      </w:r>
      <w:r w:rsidR="00355839">
        <w:rPr>
          <w:lang w:val="fr-BE"/>
        </w:rPr>
        <w:t>ble des éléments de la cause</w:t>
      </w:r>
      <w:r w:rsidR="009917CC">
        <w:rPr>
          <w:lang w:val="fr-BE"/>
        </w:rPr>
        <w:t xml:space="preserve"> et, conformément au principe de proportionnalité </w:t>
      </w:r>
      <w:r w:rsidR="00DE7BE1">
        <w:rPr>
          <w:lang w:val="fr-BE"/>
        </w:rPr>
        <w:t xml:space="preserve">fixé par la Directive, </w:t>
      </w:r>
      <w:r w:rsidR="00C35019">
        <w:rPr>
          <w:lang w:val="fr-BE"/>
        </w:rPr>
        <w:t xml:space="preserve">qu’il </w:t>
      </w:r>
      <w:r w:rsidR="00DE7BE1">
        <w:rPr>
          <w:lang w:val="fr-BE"/>
        </w:rPr>
        <w:t>puisse moduler le montant de l</w:t>
      </w:r>
      <w:r w:rsidR="00621360">
        <w:rPr>
          <w:lang w:val="fr-BE"/>
        </w:rPr>
        <w:t>’indemnisation</w:t>
      </w:r>
      <w:r w:rsidR="00326DF1">
        <w:rPr>
          <w:lang w:val="fr-BE"/>
        </w:rPr>
        <w:t xml:space="preserve"> (</w:t>
      </w:r>
      <w:r w:rsidR="003220E3">
        <w:rPr>
          <w:lang w:val="fr-BE"/>
        </w:rPr>
        <w:t>plutôt qu</w:t>
      </w:r>
      <w:r w:rsidR="00C35019">
        <w:rPr>
          <w:lang w:val="fr-BE"/>
        </w:rPr>
        <w:t xml:space="preserve">e de devoir accorder </w:t>
      </w:r>
      <w:r w:rsidR="003220E3">
        <w:rPr>
          <w:lang w:val="fr-BE"/>
        </w:rPr>
        <w:t>une indemni</w:t>
      </w:r>
      <w:r w:rsidR="00446111">
        <w:rPr>
          <w:lang w:val="fr-BE"/>
        </w:rPr>
        <w:t>té</w:t>
      </w:r>
      <w:r w:rsidR="003220E3">
        <w:rPr>
          <w:lang w:val="fr-BE"/>
        </w:rPr>
        <w:t xml:space="preserve"> forfaitaire de 6 mois dans tous les cas</w:t>
      </w:r>
      <w:r w:rsidR="00326DF1">
        <w:rPr>
          <w:lang w:val="fr-BE"/>
        </w:rPr>
        <w:t>)</w:t>
      </w:r>
      <w:r w:rsidR="00DE7BE1">
        <w:rPr>
          <w:lang w:val="fr-BE"/>
        </w:rPr>
        <w:t xml:space="preserve">. </w:t>
      </w:r>
    </w:p>
    <w:p w14:paraId="504DAA4A" w14:textId="0F4F5876" w:rsidR="00A21136" w:rsidRDefault="00E80C93" w:rsidP="008023FC">
      <w:pPr>
        <w:rPr>
          <w:lang w:val="fr-BE"/>
        </w:rPr>
      </w:pPr>
      <w:r>
        <w:rPr>
          <w:lang w:val="fr-BE"/>
        </w:rPr>
        <w:t>En outre, l</w:t>
      </w:r>
      <w:r w:rsidR="008E077D">
        <w:rPr>
          <w:lang w:val="fr-BE"/>
        </w:rPr>
        <w:t>a CCT</w:t>
      </w:r>
      <w:r w:rsidR="00326DF1">
        <w:rPr>
          <w:lang w:val="fr-BE"/>
        </w:rPr>
        <w:t xml:space="preserve"> </w:t>
      </w:r>
      <w:r w:rsidR="008E077D">
        <w:rPr>
          <w:lang w:val="fr-BE"/>
        </w:rPr>
        <w:t xml:space="preserve">n°161 prévoit </w:t>
      </w:r>
      <w:r w:rsidR="00A21136">
        <w:rPr>
          <w:lang w:val="fr-BE"/>
        </w:rPr>
        <w:t xml:space="preserve">des </w:t>
      </w:r>
      <w:r w:rsidR="00A21136" w:rsidRPr="00223768">
        <w:rPr>
          <w:u w:val="single"/>
          <w:lang w:val="fr-BE"/>
        </w:rPr>
        <w:t>règles anti-cumul</w:t>
      </w:r>
      <w:r w:rsidR="00A21136">
        <w:rPr>
          <w:lang w:val="fr-BE"/>
        </w:rPr>
        <w:t> :</w:t>
      </w:r>
    </w:p>
    <w:p w14:paraId="66249E83" w14:textId="2B4BD759" w:rsidR="008E077D" w:rsidRDefault="00A21136" w:rsidP="00A21136">
      <w:pPr>
        <w:pStyle w:val="ListParagraph"/>
        <w:numPr>
          <w:ilvl w:val="0"/>
          <w:numId w:val="18"/>
        </w:numPr>
        <w:rPr>
          <w:lang w:val="fr-BE"/>
        </w:rPr>
      </w:pPr>
      <w:r w:rsidRPr="00A21136">
        <w:rPr>
          <w:lang w:val="fr-BE"/>
        </w:rPr>
        <w:t>les deux inde</w:t>
      </w:r>
      <w:r>
        <w:rPr>
          <w:lang w:val="fr-BE"/>
        </w:rPr>
        <w:t>mnités</w:t>
      </w:r>
      <w:r w:rsidR="00B12694">
        <w:rPr>
          <w:lang w:val="fr-BE"/>
        </w:rPr>
        <w:t xml:space="preserve"> prévues par la CCT ne sont pas cumulables entre elles ;</w:t>
      </w:r>
    </w:p>
    <w:p w14:paraId="01D21167" w14:textId="77777777" w:rsidR="002018FF" w:rsidRDefault="00B12694" w:rsidP="00825DCB">
      <w:pPr>
        <w:pStyle w:val="ListParagraph"/>
        <w:numPr>
          <w:ilvl w:val="0"/>
          <w:numId w:val="18"/>
        </w:numPr>
        <w:rPr>
          <w:lang w:val="fr-BE"/>
        </w:rPr>
      </w:pPr>
      <w:r w:rsidRPr="002018FF">
        <w:rPr>
          <w:lang w:val="fr-BE"/>
        </w:rPr>
        <w:t xml:space="preserve">ces indemnités </w:t>
      </w:r>
      <w:r w:rsidR="00614831" w:rsidRPr="002018FF">
        <w:rPr>
          <w:lang w:val="fr-BE"/>
        </w:rPr>
        <w:t>n</w:t>
      </w:r>
      <w:r w:rsidR="00520F0B" w:rsidRPr="002018FF">
        <w:rPr>
          <w:lang w:val="fr-BE"/>
        </w:rPr>
        <w:t>e sont</w:t>
      </w:r>
      <w:r w:rsidR="00614831" w:rsidRPr="002018FF">
        <w:rPr>
          <w:lang w:val="fr-BE"/>
        </w:rPr>
        <w:t xml:space="preserve"> pas cumulable</w:t>
      </w:r>
      <w:r w:rsidR="00520F0B" w:rsidRPr="002018FF">
        <w:rPr>
          <w:lang w:val="fr-BE"/>
        </w:rPr>
        <w:t>s</w:t>
      </w:r>
      <w:r w:rsidR="00614831" w:rsidRPr="002018FF">
        <w:rPr>
          <w:lang w:val="fr-BE"/>
        </w:rPr>
        <w:t xml:space="preserve"> avec toute autre indemnité qui est due par l’employeur à l’occasion de la fin du contrat de travail, y compris une indemnité pour abus de licenciement</w:t>
      </w:r>
      <w:r w:rsidR="002018FF" w:rsidRPr="002018FF">
        <w:rPr>
          <w:lang w:val="fr-BE"/>
        </w:rPr>
        <w:t> ;</w:t>
      </w:r>
      <w:r w:rsidR="002018FF">
        <w:rPr>
          <w:lang w:val="fr-BE"/>
        </w:rPr>
        <w:t xml:space="preserve"> </w:t>
      </w:r>
    </w:p>
    <w:p w14:paraId="1791390B" w14:textId="7EA7AE2E" w:rsidR="00B12694" w:rsidRPr="002018FF" w:rsidRDefault="002018FF" w:rsidP="00825DCB">
      <w:pPr>
        <w:pStyle w:val="ListParagraph"/>
        <w:numPr>
          <w:ilvl w:val="0"/>
          <w:numId w:val="18"/>
        </w:numPr>
        <w:rPr>
          <w:lang w:val="fr-BE"/>
        </w:rPr>
      </w:pPr>
      <w:r>
        <w:rPr>
          <w:lang w:val="fr-BE"/>
        </w:rPr>
        <w:t>p</w:t>
      </w:r>
      <w:r w:rsidR="00C258C2" w:rsidRPr="002018FF">
        <w:rPr>
          <w:lang w:val="fr-BE"/>
        </w:rPr>
        <w:t>ar exception</w:t>
      </w:r>
      <w:r w:rsidR="000A0F03" w:rsidRPr="002018FF">
        <w:rPr>
          <w:lang w:val="fr-BE"/>
        </w:rPr>
        <w:t>, la CCT n°161 autorise le cumul éventuel d</w:t>
      </w:r>
      <w:r w:rsidR="00011D68" w:rsidRPr="002018FF">
        <w:rPr>
          <w:lang w:val="fr-BE"/>
        </w:rPr>
        <w:t xml:space="preserve">e ces indemnités avec </w:t>
      </w:r>
      <w:r w:rsidR="00614831" w:rsidRPr="002018FF">
        <w:rPr>
          <w:lang w:val="fr-BE"/>
        </w:rPr>
        <w:t>une indemnité de préavis, une indemnité de non-concurrence, une indemnité d’éviction ou une indemnité complémentaire qui est payée en plus des allocations sociales</w:t>
      </w:r>
      <w:r w:rsidR="000F4544" w:rsidRPr="002018FF">
        <w:rPr>
          <w:lang w:val="fr-BE"/>
        </w:rPr>
        <w:t xml:space="preserve"> (disposition inspirée de l’art. 9 </w:t>
      </w:r>
      <w:r w:rsidR="0010421B" w:rsidRPr="002018FF">
        <w:rPr>
          <w:lang w:val="fr-BE"/>
        </w:rPr>
        <w:t xml:space="preserve">§3 </w:t>
      </w:r>
      <w:r w:rsidR="000F4544" w:rsidRPr="002018FF">
        <w:rPr>
          <w:lang w:val="fr-BE"/>
        </w:rPr>
        <w:t>de la CCT n°109)</w:t>
      </w:r>
      <w:r w:rsidR="00614831" w:rsidRPr="002018FF">
        <w:rPr>
          <w:lang w:val="fr-BE"/>
        </w:rPr>
        <w:t>.</w:t>
      </w:r>
    </w:p>
    <w:p w14:paraId="66CC130B" w14:textId="1046B27B" w:rsidR="001F6E0A" w:rsidRDefault="00E40463" w:rsidP="00E40463">
      <w:pPr>
        <w:pStyle w:val="Heading2"/>
        <w:rPr>
          <w:lang w:val="fr-BE"/>
        </w:rPr>
      </w:pPr>
      <w:bookmarkStart w:id="19" w:name="_Toc115962341"/>
      <w:r>
        <w:rPr>
          <w:lang w:val="fr-BE"/>
        </w:rPr>
        <w:t xml:space="preserve">Protection contre </w:t>
      </w:r>
      <w:r w:rsidR="001F6E0A">
        <w:rPr>
          <w:lang w:val="fr-BE"/>
        </w:rPr>
        <w:t>tout traitement défavorable</w:t>
      </w:r>
      <w:bookmarkEnd w:id="19"/>
    </w:p>
    <w:p w14:paraId="28585A32" w14:textId="0641F513" w:rsidR="001F6E0A" w:rsidRDefault="00FE05BF" w:rsidP="001F6E0A">
      <w:pPr>
        <w:rPr>
          <w:lang w:val="fr-BE"/>
        </w:rPr>
      </w:pPr>
      <w:r>
        <w:rPr>
          <w:lang w:val="fr-BE"/>
        </w:rPr>
        <w:t>Deux types de</w:t>
      </w:r>
      <w:r w:rsidR="00BE6048">
        <w:rPr>
          <w:lang w:val="fr-BE"/>
        </w:rPr>
        <w:t xml:space="preserve"> situations sont visées dans la CC</w:t>
      </w:r>
      <w:r w:rsidR="00E82245">
        <w:rPr>
          <w:lang w:val="fr-BE"/>
        </w:rPr>
        <w:t>T</w:t>
      </w:r>
      <w:r w:rsidR="00BE6048">
        <w:rPr>
          <w:lang w:val="fr-BE"/>
        </w:rPr>
        <w:t xml:space="preserve"> n°161.</w:t>
      </w:r>
    </w:p>
    <w:p w14:paraId="3CAF2853" w14:textId="06120413" w:rsidR="00BE6048" w:rsidRDefault="00C008AA" w:rsidP="00776042">
      <w:pPr>
        <w:pStyle w:val="Heading3"/>
        <w:rPr>
          <w:lang w:val="fr-BE"/>
        </w:rPr>
      </w:pPr>
      <w:bookmarkStart w:id="20" w:name="_Toc115962342"/>
      <w:r>
        <w:rPr>
          <w:lang w:val="fr-BE"/>
        </w:rPr>
        <w:t>Traitement</w:t>
      </w:r>
      <w:r w:rsidR="00982703">
        <w:rPr>
          <w:lang w:val="fr-BE"/>
        </w:rPr>
        <w:t>s</w:t>
      </w:r>
      <w:r>
        <w:rPr>
          <w:lang w:val="fr-BE"/>
        </w:rPr>
        <w:t xml:space="preserve"> défavorable</w:t>
      </w:r>
      <w:r w:rsidR="00982703">
        <w:rPr>
          <w:lang w:val="fr-BE"/>
        </w:rPr>
        <w:t>s</w:t>
      </w:r>
      <w:r w:rsidR="00E82245">
        <w:rPr>
          <w:lang w:val="fr-BE"/>
        </w:rPr>
        <w:t xml:space="preserve"> (art. 14)</w:t>
      </w:r>
      <w:bookmarkEnd w:id="20"/>
    </w:p>
    <w:p w14:paraId="51F4EFAF" w14:textId="2A02EA70" w:rsidR="00776042" w:rsidRDefault="00776042" w:rsidP="00776042">
      <w:pPr>
        <w:rPr>
          <w:lang w:val="fr-BE"/>
        </w:rPr>
      </w:pPr>
      <w:r w:rsidRPr="00776042">
        <w:rPr>
          <w:lang w:val="fr-BE"/>
        </w:rPr>
        <w:t xml:space="preserve">L’employeur ne peut adopter aucune mesure défavorable à l’encontre du travailleur qui introduit une demande d’une autre forme d’emploi comportant des conditions de travail plus prévisibles et plus sûres, sauf pour des motifs qui sont étrangers à l’exercice des droits découlant de la </w:t>
      </w:r>
      <w:r w:rsidR="00A52188">
        <w:rPr>
          <w:lang w:val="fr-BE"/>
        </w:rPr>
        <w:t>CCT n°161</w:t>
      </w:r>
      <w:r w:rsidRPr="00776042">
        <w:rPr>
          <w:lang w:val="fr-BE"/>
        </w:rPr>
        <w:t>.</w:t>
      </w:r>
    </w:p>
    <w:p w14:paraId="183D14D1" w14:textId="11AECDE9" w:rsidR="001E6609" w:rsidRDefault="00AD7878" w:rsidP="00776042">
      <w:pPr>
        <w:rPr>
          <w:lang w:val="fr-BE"/>
        </w:rPr>
      </w:pPr>
      <w:r>
        <w:rPr>
          <w:lang w:val="fr-BE"/>
        </w:rPr>
        <w:t>A ce sujet, l</w:t>
      </w:r>
      <w:r w:rsidR="00DD6ACE">
        <w:rPr>
          <w:lang w:val="fr-BE"/>
        </w:rPr>
        <w:t>es partenaires sociaux ont tenu à préciser ce qui suit :</w:t>
      </w:r>
    </w:p>
    <w:p w14:paraId="75339799" w14:textId="38F99CB7" w:rsidR="00DD6ACE" w:rsidRDefault="00DD6ACE" w:rsidP="00DD6ACE">
      <w:pPr>
        <w:pStyle w:val="ListParagraph"/>
        <w:numPr>
          <w:ilvl w:val="0"/>
          <w:numId w:val="18"/>
        </w:numPr>
        <w:rPr>
          <w:lang w:val="fr-BE"/>
        </w:rPr>
      </w:pPr>
      <w:r w:rsidRPr="00DD6ACE">
        <w:rPr>
          <w:lang w:val="fr-BE"/>
        </w:rPr>
        <w:t xml:space="preserve">La demande d’une forme d’emploi comportant des conditions de travail plus prévisibles et plus sûres ne constitue pas un motif de changement unilatéral de poste ou de </w:t>
      </w:r>
      <w:r w:rsidRPr="00DD6ACE">
        <w:rPr>
          <w:lang w:val="fr-BE"/>
        </w:rPr>
        <w:lastRenderedPageBreak/>
        <w:t>conditions d’emploi et le travailleur conserve le droit aux promotions et avancements normaux de la catégorie de travailleurs à laquelle il appartient</w:t>
      </w:r>
      <w:r w:rsidR="00DE0194">
        <w:rPr>
          <w:lang w:val="fr-BE"/>
        </w:rPr>
        <w:t> ;</w:t>
      </w:r>
    </w:p>
    <w:p w14:paraId="5AFDFD68" w14:textId="77777777" w:rsidR="00DE0194" w:rsidRDefault="00DE0194" w:rsidP="00DE0194">
      <w:pPr>
        <w:pStyle w:val="ListParagraph"/>
        <w:rPr>
          <w:lang w:val="fr-BE"/>
        </w:rPr>
      </w:pPr>
    </w:p>
    <w:p w14:paraId="45B6B737" w14:textId="4E35C0BF" w:rsidR="00B90D7C" w:rsidRDefault="00391377" w:rsidP="00DD6ACE">
      <w:pPr>
        <w:pStyle w:val="ListParagraph"/>
        <w:numPr>
          <w:ilvl w:val="0"/>
          <w:numId w:val="18"/>
        </w:numPr>
        <w:rPr>
          <w:lang w:val="fr-BE"/>
        </w:rPr>
      </w:pPr>
      <w:r>
        <w:rPr>
          <w:lang w:val="fr-BE"/>
        </w:rPr>
        <w:t>P</w:t>
      </w:r>
      <w:r w:rsidR="000D0FFD" w:rsidRPr="00B90D7C">
        <w:rPr>
          <w:lang w:val="fr-BE"/>
        </w:rPr>
        <w:t>ar traitement défavorable, on entend par exemple</w:t>
      </w:r>
      <w:r w:rsidR="001D0EE6">
        <w:rPr>
          <w:lang w:val="fr-BE"/>
        </w:rPr>
        <w:t xml:space="preserve"> (liste non-exhaustive)</w:t>
      </w:r>
      <w:r w:rsidR="000D0FFD" w:rsidRPr="00B90D7C">
        <w:rPr>
          <w:lang w:val="fr-BE"/>
        </w:rPr>
        <w:t xml:space="preserve"> : </w:t>
      </w:r>
    </w:p>
    <w:p w14:paraId="01CEDF10" w14:textId="77777777" w:rsidR="00B90D7C" w:rsidRDefault="000D0FFD" w:rsidP="001D0EE6">
      <w:pPr>
        <w:pStyle w:val="ListParagraph"/>
        <w:numPr>
          <w:ilvl w:val="1"/>
          <w:numId w:val="18"/>
        </w:numPr>
        <w:rPr>
          <w:lang w:val="fr-BE"/>
        </w:rPr>
      </w:pPr>
      <w:r w:rsidRPr="00B90D7C">
        <w:rPr>
          <w:lang w:val="fr-BE"/>
        </w:rPr>
        <w:t xml:space="preserve">tout changement vers un poste de travail moins avantageux ; </w:t>
      </w:r>
    </w:p>
    <w:p w14:paraId="45CF84A4" w14:textId="77777777" w:rsidR="00B90D7C" w:rsidRDefault="000D0FFD" w:rsidP="001D0EE6">
      <w:pPr>
        <w:pStyle w:val="ListParagraph"/>
        <w:numPr>
          <w:ilvl w:val="1"/>
          <w:numId w:val="18"/>
        </w:numPr>
        <w:rPr>
          <w:lang w:val="fr-BE"/>
        </w:rPr>
      </w:pPr>
      <w:r w:rsidRPr="00B90D7C">
        <w:rPr>
          <w:lang w:val="fr-BE"/>
        </w:rPr>
        <w:t xml:space="preserve">une dégradation ; </w:t>
      </w:r>
    </w:p>
    <w:p w14:paraId="2A7C8713" w14:textId="77777777" w:rsidR="00B90D7C" w:rsidRDefault="000D0FFD" w:rsidP="001D0EE6">
      <w:pPr>
        <w:pStyle w:val="ListParagraph"/>
        <w:numPr>
          <w:ilvl w:val="1"/>
          <w:numId w:val="18"/>
        </w:numPr>
        <w:rPr>
          <w:lang w:val="fr-BE"/>
        </w:rPr>
      </w:pPr>
      <w:r w:rsidRPr="00B90D7C">
        <w:rPr>
          <w:lang w:val="fr-BE"/>
        </w:rPr>
        <w:t>le passage d’un régime de travail à temps plein vers un régime de travail à temps partiel ;</w:t>
      </w:r>
    </w:p>
    <w:p w14:paraId="2912D40E" w14:textId="77777777" w:rsidR="00B90D7C" w:rsidRDefault="000D0FFD" w:rsidP="001D0EE6">
      <w:pPr>
        <w:pStyle w:val="ListParagraph"/>
        <w:numPr>
          <w:ilvl w:val="1"/>
          <w:numId w:val="18"/>
        </w:numPr>
        <w:rPr>
          <w:lang w:val="fr-BE"/>
        </w:rPr>
      </w:pPr>
      <w:r w:rsidRPr="00B90D7C">
        <w:rPr>
          <w:lang w:val="fr-BE"/>
        </w:rPr>
        <w:t xml:space="preserve">le passage d’un contrat de travail comportant un grand nombre d’heures de travail vers un contrat de travail comportant un nombre réduit d’heures de travail ; </w:t>
      </w:r>
    </w:p>
    <w:p w14:paraId="7DC5883C" w14:textId="47D0B078" w:rsidR="00DD6ACE" w:rsidRDefault="000D0FFD" w:rsidP="001D0EE6">
      <w:pPr>
        <w:pStyle w:val="ListParagraph"/>
        <w:numPr>
          <w:ilvl w:val="1"/>
          <w:numId w:val="18"/>
        </w:numPr>
        <w:rPr>
          <w:lang w:val="fr-BE"/>
        </w:rPr>
      </w:pPr>
      <w:r w:rsidRPr="00B90D7C">
        <w:rPr>
          <w:lang w:val="fr-BE"/>
        </w:rPr>
        <w:t>un changement de lieu de travail.</w:t>
      </w:r>
    </w:p>
    <w:p w14:paraId="691E7159" w14:textId="20233D95" w:rsidR="00834009" w:rsidRPr="00834009" w:rsidRDefault="00834009" w:rsidP="00834009">
      <w:pPr>
        <w:rPr>
          <w:lang w:val="fr-BE"/>
        </w:rPr>
      </w:pPr>
      <w:r>
        <w:rPr>
          <w:lang w:val="fr-BE"/>
        </w:rPr>
        <w:t>L</w:t>
      </w:r>
      <w:r w:rsidR="00660584">
        <w:rPr>
          <w:lang w:val="fr-BE"/>
        </w:rPr>
        <w:t>a période et le</w:t>
      </w:r>
      <w:r>
        <w:rPr>
          <w:lang w:val="fr-BE"/>
        </w:rPr>
        <w:t xml:space="preserve"> mécanisme de protection</w:t>
      </w:r>
      <w:r w:rsidR="003D2610">
        <w:rPr>
          <w:lang w:val="fr-BE"/>
        </w:rPr>
        <w:t xml:space="preserve"> s’applique</w:t>
      </w:r>
      <w:r w:rsidR="00660584">
        <w:rPr>
          <w:lang w:val="fr-BE"/>
        </w:rPr>
        <w:t>nt</w:t>
      </w:r>
      <w:r>
        <w:rPr>
          <w:lang w:val="fr-BE"/>
        </w:rPr>
        <w:t xml:space="preserve"> tel</w:t>
      </w:r>
      <w:r w:rsidR="00660584">
        <w:rPr>
          <w:lang w:val="fr-BE"/>
        </w:rPr>
        <w:t>s</w:t>
      </w:r>
      <w:r>
        <w:rPr>
          <w:lang w:val="fr-BE"/>
        </w:rPr>
        <w:t xml:space="preserve"> qu’expliqué</w:t>
      </w:r>
      <w:r w:rsidR="00660584">
        <w:rPr>
          <w:lang w:val="fr-BE"/>
        </w:rPr>
        <w:t>s</w:t>
      </w:r>
      <w:r>
        <w:rPr>
          <w:lang w:val="fr-BE"/>
        </w:rPr>
        <w:t xml:space="preserve"> </w:t>
      </w:r>
      <w:r w:rsidR="006F0556">
        <w:rPr>
          <w:lang w:val="fr-BE"/>
        </w:rPr>
        <w:t>ci-dessus (</w:t>
      </w:r>
      <w:r w:rsidR="003D2610">
        <w:rPr>
          <w:lang w:val="fr-BE"/>
        </w:rPr>
        <w:t xml:space="preserve">cf. </w:t>
      </w:r>
      <w:r w:rsidR="006F0556">
        <w:rPr>
          <w:lang w:val="fr-BE"/>
        </w:rPr>
        <w:t>7.1.2</w:t>
      </w:r>
      <w:r w:rsidR="003D2610">
        <w:rPr>
          <w:lang w:val="fr-BE"/>
        </w:rPr>
        <w:t xml:space="preserve"> &amp; </w:t>
      </w:r>
      <w:r w:rsidR="006F0556">
        <w:rPr>
          <w:lang w:val="fr-BE"/>
        </w:rPr>
        <w:t>7.1.3)</w:t>
      </w:r>
    </w:p>
    <w:p w14:paraId="69019113" w14:textId="240F7AA2" w:rsidR="00DE0194" w:rsidRDefault="00834009" w:rsidP="00DE0194">
      <w:pPr>
        <w:pStyle w:val="Heading3"/>
        <w:rPr>
          <w:lang w:val="fr-BE"/>
        </w:rPr>
      </w:pPr>
      <w:bookmarkStart w:id="21" w:name="_Toc115962343"/>
      <w:r>
        <w:rPr>
          <w:lang w:val="fr-BE"/>
        </w:rPr>
        <w:t>Contrat à durée déterminée non-renouvelé</w:t>
      </w:r>
      <w:r w:rsidR="00A15C10">
        <w:rPr>
          <w:lang w:val="fr-BE"/>
        </w:rPr>
        <w:t xml:space="preserve"> (art. 15)</w:t>
      </w:r>
      <w:bookmarkEnd w:id="21"/>
    </w:p>
    <w:p w14:paraId="09FB841F" w14:textId="4AC001E7" w:rsidR="007E4415" w:rsidRPr="00E5767D" w:rsidRDefault="00E5767D" w:rsidP="003D2610">
      <w:pPr>
        <w:rPr>
          <w:lang w:val="fr-BE"/>
        </w:rPr>
      </w:pPr>
      <w:r w:rsidRPr="00E5767D">
        <w:rPr>
          <w:lang w:val="fr-BE"/>
        </w:rPr>
        <w:t xml:space="preserve">Lorsqu’un travailleur ayant un contrat de travail à durée déterminée fait une demande d’une forme d’emploi comportant des conditions de travail plus prévisibles et plus sûres, le non-renouvellement de son contrat de travail peut être considéré comme une mesure défavorable pour laquelle une indemnité est due conformément à l’article 14 </w:t>
      </w:r>
      <w:r w:rsidR="00474421">
        <w:rPr>
          <w:lang w:val="fr-BE"/>
        </w:rPr>
        <w:t xml:space="preserve">§4 </w:t>
      </w:r>
      <w:r w:rsidRPr="00E5767D">
        <w:rPr>
          <w:lang w:val="fr-BE"/>
        </w:rPr>
        <w:t xml:space="preserve">de la </w:t>
      </w:r>
      <w:r w:rsidR="00A15C10">
        <w:rPr>
          <w:lang w:val="fr-BE"/>
        </w:rPr>
        <w:t>CCT n°161.</w:t>
      </w:r>
    </w:p>
    <w:p w14:paraId="476143AD" w14:textId="48AECAB5" w:rsidR="00B94AC4" w:rsidRPr="003D2610" w:rsidRDefault="004B1F5B" w:rsidP="00B94AC4">
      <w:pPr>
        <w:rPr>
          <w:lang w:val="fr-BE"/>
        </w:rPr>
      </w:pPr>
      <w:r w:rsidRPr="004B1F5B">
        <w:rPr>
          <w:lang w:val="fr-BE"/>
        </w:rPr>
        <w:t xml:space="preserve">Il incombe dans ce cas au travailleur de prouver </w:t>
      </w:r>
      <w:r w:rsidR="00312F7C">
        <w:rPr>
          <w:lang w:val="fr-BE"/>
        </w:rPr>
        <w:t xml:space="preserve">entièrement </w:t>
      </w:r>
      <w:r w:rsidRPr="004B1F5B">
        <w:rPr>
          <w:lang w:val="fr-BE"/>
        </w:rPr>
        <w:t>que le non-renouvellement de son contrat de travail est fondé sur des motifs liés à l’exercice de ses droits découlant de la</w:t>
      </w:r>
      <w:r w:rsidR="00981FC7">
        <w:rPr>
          <w:lang w:val="fr-BE"/>
        </w:rPr>
        <w:t xml:space="preserve"> CCT n°161</w:t>
      </w:r>
      <w:r w:rsidRPr="004B1F5B">
        <w:rPr>
          <w:lang w:val="fr-BE"/>
        </w:rPr>
        <w:t xml:space="preserve">. </w:t>
      </w:r>
      <w:r w:rsidR="00B94AC4" w:rsidRPr="00445C28">
        <w:rPr>
          <w:u w:val="single"/>
          <w:lang w:val="fr-BE"/>
        </w:rPr>
        <w:t>Par dérogation</w:t>
      </w:r>
      <w:r w:rsidR="00B94AC4">
        <w:rPr>
          <w:lang w:val="fr-BE"/>
        </w:rPr>
        <w:t>, le mécanisme de droit en commun concernant la charge de la preuve s’applique</w:t>
      </w:r>
      <w:r w:rsidR="005717C1">
        <w:rPr>
          <w:lang w:val="fr-BE"/>
        </w:rPr>
        <w:t xml:space="preserve"> </w:t>
      </w:r>
      <w:r w:rsidR="00B94AC4">
        <w:rPr>
          <w:lang w:val="fr-BE"/>
        </w:rPr>
        <w:t>dans cette situation</w:t>
      </w:r>
      <w:r w:rsidR="00B94AC4">
        <w:rPr>
          <w:rStyle w:val="FootnoteReference"/>
          <w:lang w:val="fr-BE"/>
        </w:rPr>
        <w:footnoteReference w:id="6"/>
      </w:r>
      <w:r w:rsidR="00B94AC4">
        <w:rPr>
          <w:lang w:val="fr-BE"/>
        </w:rPr>
        <w:t>. Il ne s’agit donc pas à proprement parler d’une nouvelle protection.</w:t>
      </w:r>
    </w:p>
    <w:p w14:paraId="3B635615" w14:textId="1F0C4F05" w:rsidR="004B1F5B" w:rsidRDefault="004B1F5B" w:rsidP="003D2610">
      <w:pPr>
        <w:rPr>
          <w:lang w:val="fr-BE"/>
        </w:rPr>
      </w:pPr>
      <w:r w:rsidRPr="004B1F5B">
        <w:rPr>
          <w:lang w:val="fr-BE"/>
        </w:rPr>
        <w:t xml:space="preserve">Le travailleur ne pourra pas invoquer le traitement défavorable si le non-renouvellement du contrat de travail est demandé par le travailleur lui-même, ou s’il existe pour cela des motifs qui sont étrangers à l’exercice des droits découlant de la </w:t>
      </w:r>
      <w:r w:rsidR="00312F7C">
        <w:rPr>
          <w:lang w:val="fr-BE"/>
        </w:rPr>
        <w:t>CCT n°161</w:t>
      </w:r>
      <w:r w:rsidRPr="004B1F5B">
        <w:rPr>
          <w:lang w:val="fr-BE"/>
        </w:rPr>
        <w:t>.</w:t>
      </w:r>
    </w:p>
    <w:p w14:paraId="23466D31" w14:textId="25834645" w:rsidR="00A23AB6" w:rsidRDefault="00A23AB6" w:rsidP="003D2610">
      <w:pPr>
        <w:rPr>
          <w:lang w:val="fr-BE"/>
        </w:rPr>
      </w:pPr>
      <w:r>
        <w:rPr>
          <w:lang w:val="fr-BE"/>
        </w:rPr>
        <w:t>Le commentaire sous l’article 15 précise notamment que :</w:t>
      </w:r>
    </w:p>
    <w:p w14:paraId="3C711558" w14:textId="77777777" w:rsidR="00AE68E3" w:rsidRDefault="00A23AB6" w:rsidP="00A23AB6">
      <w:pPr>
        <w:pStyle w:val="ListParagraph"/>
        <w:numPr>
          <w:ilvl w:val="0"/>
          <w:numId w:val="18"/>
        </w:numPr>
        <w:rPr>
          <w:lang w:val="fr-BE"/>
        </w:rPr>
      </w:pPr>
      <w:r w:rsidRPr="00AE68E3">
        <w:rPr>
          <w:lang w:val="fr-BE"/>
        </w:rPr>
        <w:t xml:space="preserve">La </w:t>
      </w:r>
      <w:r w:rsidR="00AE68E3">
        <w:rPr>
          <w:lang w:val="fr-BE"/>
        </w:rPr>
        <w:t>CCT n°161</w:t>
      </w:r>
      <w:r w:rsidRPr="00AE68E3">
        <w:rPr>
          <w:lang w:val="fr-BE"/>
        </w:rPr>
        <w:t xml:space="preserve"> ne porte pas préjudice aux règles existantes en matière de renouvellement ou de fin des contrats de travail à durée déterminée. </w:t>
      </w:r>
    </w:p>
    <w:p w14:paraId="6B812D0B" w14:textId="77777777" w:rsidR="00AE68E3" w:rsidRDefault="00AE68E3" w:rsidP="00AE68E3">
      <w:pPr>
        <w:pStyle w:val="ListParagraph"/>
        <w:rPr>
          <w:lang w:val="fr-BE"/>
        </w:rPr>
      </w:pPr>
    </w:p>
    <w:p w14:paraId="382B9876" w14:textId="79F8A865" w:rsidR="00A23AB6" w:rsidRDefault="00A23AB6" w:rsidP="00A23AB6">
      <w:pPr>
        <w:pStyle w:val="ListParagraph"/>
        <w:numPr>
          <w:ilvl w:val="0"/>
          <w:numId w:val="18"/>
        </w:numPr>
        <w:rPr>
          <w:lang w:val="fr-BE"/>
        </w:rPr>
      </w:pPr>
      <w:r w:rsidRPr="00AE68E3">
        <w:rPr>
          <w:lang w:val="fr-BE"/>
        </w:rPr>
        <w:t xml:space="preserve">On entend entre autres par </w:t>
      </w:r>
      <w:r w:rsidR="00307D78">
        <w:rPr>
          <w:lang w:val="fr-BE"/>
        </w:rPr>
        <w:t>« </w:t>
      </w:r>
      <w:r w:rsidRPr="00AE68E3">
        <w:rPr>
          <w:lang w:val="fr-BE"/>
        </w:rPr>
        <w:t>motifs étrangers</w:t>
      </w:r>
      <w:r w:rsidR="00307D78">
        <w:rPr>
          <w:lang w:val="fr-BE"/>
        </w:rPr>
        <w:t> » :</w:t>
      </w:r>
      <w:r w:rsidRPr="00AE68E3">
        <w:rPr>
          <w:lang w:val="fr-BE"/>
        </w:rPr>
        <w:t xml:space="preserve"> lorsque l’employeur n’a pas la possibilité de conclure légalement des contrats de travail à durée déterminée successifs en vertu de l’article 10 bis de la loi du 3 juillet 1978 relative aux contrats de travail ou lorsqu’il est impossible de conclure un contrat de travail temporaire et intérimaire eu égard aux conditions prévues dans l</w:t>
      </w:r>
      <w:r w:rsidR="00CF4A3B">
        <w:rPr>
          <w:lang w:val="fr-BE"/>
        </w:rPr>
        <w:t>a CCT</w:t>
      </w:r>
      <w:r w:rsidRPr="00AE68E3">
        <w:rPr>
          <w:lang w:val="fr-BE"/>
        </w:rPr>
        <w:t xml:space="preserve"> n°108</w:t>
      </w:r>
      <w:r w:rsidR="00626C85">
        <w:rPr>
          <w:lang w:val="fr-BE"/>
        </w:rPr>
        <w:t xml:space="preserve"> sur le travail intérimaire</w:t>
      </w:r>
      <w:r w:rsidRPr="00AE68E3">
        <w:rPr>
          <w:lang w:val="fr-BE"/>
        </w:rPr>
        <w:t>.</w:t>
      </w:r>
    </w:p>
    <w:p w14:paraId="53612CFE" w14:textId="517882B6" w:rsidR="0036231E" w:rsidRPr="0036231E" w:rsidRDefault="00CD2EB9" w:rsidP="0036231E">
      <w:pPr>
        <w:rPr>
          <w:lang w:val="fr-BE"/>
        </w:rPr>
      </w:pPr>
      <w:r>
        <w:rPr>
          <w:lang w:val="fr-BE"/>
        </w:rPr>
        <w:t>C</w:t>
      </w:r>
      <w:r w:rsidR="00D34208">
        <w:rPr>
          <w:lang w:val="fr-BE"/>
        </w:rPr>
        <w:t xml:space="preserve">es deux exemples de « motifs étrangers » sont loin d’être exhaustifs. Il existe de multiples raisons </w:t>
      </w:r>
      <w:r w:rsidR="000D5BC0">
        <w:rPr>
          <w:lang w:val="fr-BE"/>
        </w:rPr>
        <w:t>possibles pour ne pas prolonger un contrat de travail à durée déterminée. De toute façon, il appartien</w:t>
      </w:r>
      <w:r>
        <w:rPr>
          <w:lang w:val="fr-BE"/>
        </w:rPr>
        <w:t>dra</w:t>
      </w:r>
      <w:r w:rsidR="000D5BC0">
        <w:rPr>
          <w:lang w:val="fr-BE"/>
        </w:rPr>
        <w:t xml:space="preserve"> d’abord au travailleur d’établir le lien </w:t>
      </w:r>
      <w:r w:rsidR="002452DD">
        <w:rPr>
          <w:lang w:val="fr-BE"/>
        </w:rPr>
        <w:t xml:space="preserve">causal </w:t>
      </w:r>
      <w:r w:rsidR="000D5BC0">
        <w:rPr>
          <w:lang w:val="fr-BE"/>
        </w:rPr>
        <w:t>entre</w:t>
      </w:r>
      <w:r w:rsidR="002452DD">
        <w:rPr>
          <w:lang w:val="fr-BE"/>
        </w:rPr>
        <w:t>, d’une part,</w:t>
      </w:r>
      <w:r w:rsidR="000D5BC0">
        <w:rPr>
          <w:lang w:val="fr-BE"/>
        </w:rPr>
        <w:t xml:space="preserve"> sa </w:t>
      </w:r>
      <w:r w:rsidR="000D5BC0">
        <w:rPr>
          <w:lang w:val="fr-BE"/>
        </w:rPr>
        <w:lastRenderedPageBreak/>
        <w:t>demande</w:t>
      </w:r>
      <w:r w:rsidR="002452DD">
        <w:rPr>
          <w:lang w:val="fr-BE"/>
        </w:rPr>
        <w:t xml:space="preserve"> d’une autre forme d’emploi et, d’autre part, le non-renouvellement de son contrat de travail à durée déterminée. </w:t>
      </w:r>
    </w:p>
    <w:p w14:paraId="1C8337C3" w14:textId="6AE88C50" w:rsidR="00E76ADE" w:rsidRDefault="008D64B5" w:rsidP="00E76ADE">
      <w:pPr>
        <w:pStyle w:val="Heading3"/>
        <w:rPr>
          <w:lang w:val="fr-BE"/>
        </w:rPr>
      </w:pPr>
      <w:bookmarkStart w:id="22" w:name="_Toc115962344"/>
      <w:r>
        <w:rPr>
          <w:lang w:val="fr-BE"/>
        </w:rPr>
        <w:t>Indemnisation</w:t>
      </w:r>
      <w:r w:rsidR="007D7FD3">
        <w:rPr>
          <w:lang w:val="fr-BE"/>
        </w:rPr>
        <w:t xml:space="preserve"> (art. 14 §4</w:t>
      </w:r>
      <w:r w:rsidR="00AC21A0">
        <w:rPr>
          <w:lang w:val="fr-BE"/>
        </w:rPr>
        <w:t xml:space="preserve"> et 17</w:t>
      </w:r>
      <w:r w:rsidR="007D7FD3">
        <w:rPr>
          <w:lang w:val="fr-BE"/>
        </w:rPr>
        <w:t>)</w:t>
      </w:r>
      <w:bookmarkEnd w:id="22"/>
    </w:p>
    <w:p w14:paraId="4D5B1287" w14:textId="4D90C0AE" w:rsidR="007D7FD3" w:rsidRDefault="0085574C" w:rsidP="007D7FD3">
      <w:pPr>
        <w:rPr>
          <w:lang w:val="fr-BE"/>
        </w:rPr>
      </w:pPr>
      <w:r w:rsidRPr="0085574C">
        <w:rPr>
          <w:lang w:val="fr-BE"/>
        </w:rPr>
        <w:t xml:space="preserve">Lorsque la mesure défavorable </w:t>
      </w:r>
      <w:r w:rsidR="00A35E48">
        <w:rPr>
          <w:lang w:val="fr-BE"/>
        </w:rPr>
        <w:t>n’est pas dûment justifiée par des motifs étrangers à l’exercice des droits découlant de la CCT n°161,</w:t>
      </w:r>
      <w:r w:rsidRPr="0085574C">
        <w:rPr>
          <w:lang w:val="fr-BE"/>
        </w:rPr>
        <w:t xml:space="preserve"> l’employeur qui a pris la mesure doit payer au travailleur une indemnité qui correspond </w:t>
      </w:r>
      <w:r w:rsidRPr="00664956">
        <w:rPr>
          <w:u w:val="single"/>
          <w:lang w:val="fr-BE"/>
        </w:rPr>
        <w:t>au minimum à deux mois de rémunération et au maximum à trois mois de rémunération</w:t>
      </w:r>
      <w:r w:rsidR="00FF7FD8" w:rsidRPr="00664956">
        <w:rPr>
          <w:u w:val="single"/>
          <w:lang w:val="fr-BE"/>
        </w:rPr>
        <w:t>.</w:t>
      </w:r>
      <w:r w:rsidR="00FF7FD8">
        <w:rPr>
          <w:lang w:val="fr-BE"/>
        </w:rPr>
        <w:t xml:space="preserve"> Cette fourchette</w:t>
      </w:r>
      <w:r w:rsidR="00061D68">
        <w:rPr>
          <w:lang w:val="fr-BE"/>
        </w:rPr>
        <w:t xml:space="preserve"> doit permettre au tribunal d’appliquer le principe de proportionn</w:t>
      </w:r>
      <w:r w:rsidR="00B11D3E">
        <w:rPr>
          <w:lang w:val="fr-BE"/>
        </w:rPr>
        <w:t>alité</w:t>
      </w:r>
      <w:r w:rsidR="006303A2">
        <w:rPr>
          <w:lang w:val="fr-BE"/>
        </w:rPr>
        <w:t xml:space="preserve"> et de tenir</w:t>
      </w:r>
      <w:r w:rsidR="00B11D3E">
        <w:rPr>
          <w:lang w:val="fr-BE"/>
        </w:rPr>
        <w:t xml:space="preserve"> compte de tous les faits de la cause </w:t>
      </w:r>
      <w:r w:rsidR="0033556B">
        <w:rPr>
          <w:lang w:val="fr-BE"/>
        </w:rPr>
        <w:t>avant de</w:t>
      </w:r>
      <w:r w:rsidR="00B11D3E">
        <w:rPr>
          <w:lang w:val="fr-BE"/>
        </w:rPr>
        <w:t xml:space="preserve"> fixer le montant de l’indemnité.</w:t>
      </w:r>
    </w:p>
    <w:p w14:paraId="4203CC55" w14:textId="71DEDE5F" w:rsidR="00D36B27" w:rsidRPr="0085574C" w:rsidRDefault="00D36B27" w:rsidP="007D7FD3">
      <w:pPr>
        <w:rPr>
          <w:lang w:val="fr-BE"/>
        </w:rPr>
      </w:pPr>
      <w:r>
        <w:rPr>
          <w:lang w:val="fr-BE"/>
        </w:rPr>
        <w:t xml:space="preserve">Cette indemnité n’est </w:t>
      </w:r>
      <w:r w:rsidRPr="00D36B27">
        <w:rPr>
          <w:lang w:val="fr-BE"/>
        </w:rPr>
        <w:t>pas cumulable avec toute autre indemnité qui est due par l’employeur à l’occasion de la fin du contrat de travail, y compris une indemnité pour abus de licenciement, à l’exception d’une indemnité de préavis, d’une indemnité de non-concurrence, d’une indemnité d’éviction ou d’une indemnité complémentaire qui est payée en plus des allocations sociales.</w:t>
      </w:r>
      <w:r w:rsidR="00917E9E">
        <w:rPr>
          <w:lang w:val="fr-BE"/>
        </w:rPr>
        <w:t xml:space="preserve"> Les règles anti-cumul sont détaillées au pt 7.</w:t>
      </w:r>
      <w:r w:rsidR="008C125B">
        <w:rPr>
          <w:lang w:val="fr-BE"/>
        </w:rPr>
        <w:t>1.3</w:t>
      </w:r>
      <w:r w:rsidR="00917E9E">
        <w:rPr>
          <w:lang w:val="fr-BE"/>
        </w:rPr>
        <w:t xml:space="preserve"> supra.</w:t>
      </w:r>
    </w:p>
    <w:p w14:paraId="76FB720F" w14:textId="5CA399A5" w:rsidR="00EB398F" w:rsidRDefault="001F6E0A" w:rsidP="00E40463">
      <w:pPr>
        <w:pStyle w:val="Heading2"/>
        <w:rPr>
          <w:lang w:val="fr-BE"/>
        </w:rPr>
      </w:pPr>
      <w:bookmarkStart w:id="23" w:name="_Toc115962345"/>
      <w:r>
        <w:rPr>
          <w:lang w:val="fr-BE"/>
        </w:rPr>
        <w:t xml:space="preserve">Protection contre </w:t>
      </w:r>
      <w:r w:rsidR="00E40463">
        <w:rPr>
          <w:lang w:val="fr-BE"/>
        </w:rPr>
        <w:t>le licenciement</w:t>
      </w:r>
      <w:bookmarkEnd w:id="23"/>
      <w:r w:rsidR="00BB11F7">
        <w:rPr>
          <w:lang w:val="fr-BE"/>
        </w:rPr>
        <w:t xml:space="preserve"> </w:t>
      </w:r>
    </w:p>
    <w:p w14:paraId="7655FDE0" w14:textId="48C96FE0" w:rsidR="00E40463" w:rsidRDefault="00784BF1" w:rsidP="006E74DA">
      <w:pPr>
        <w:pStyle w:val="Heading3"/>
        <w:rPr>
          <w:lang w:val="fr-BE"/>
        </w:rPr>
      </w:pPr>
      <w:bookmarkStart w:id="24" w:name="_Toc115962346"/>
      <w:r>
        <w:rPr>
          <w:lang w:val="fr-BE"/>
        </w:rPr>
        <w:t>Rappel du principe</w:t>
      </w:r>
      <w:r w:rsidR="00AC21A0">
        <w:rPr>
          <w:lang w:val="fr-BE"/>
        </w:rPr>
        <w:t xml:space="preserve"> (art. 16)</w:t>
      </w:r>
      <w:bookmarkEnd w:id="24"/>
    </w:p>
    <w:p w14:paraId="3D8BDDC7" w14:textId="77777777" w:rsidR="0005479F" w:rsidRDefault="003C793E" w:rsidP="00B84675">
      <w:pPr>
        <w:rPr>
          <w:lang w:val="fr-BE"/>
        </w:rPr>
      </w:pPr>
      <w:r w:rsidRPr="00D36B27">
        <w:rPr>
          <w:lang w:val="fr-BE"/>
        </w:rPr>
        <w:t>L’employeur ne peut pas licencier un travailleur qui introduit une demande d’une forme d’emploi comportant des conditions de travail plus prévisibles et plus sûres, sauf pour des motifs qui sont étrangers à l’exercice des droits découlant de la</w:t>
      </w:r>
      <w:r w:rsidR="004A2A48">
        <w:rPr>
          <w:lang w:val="fr-BE"/>
        </w:rPr>
        <w:t xml:space="preserve"> CCT n°161</w:t>
      </w:r>
      <w:r w:rsidRPr="00D36B27">
        <w:rPr>
          <w:lang w:val="fr-BE"/>
        </w:rPr>
        <w:t xml:space="preserve">. </w:t>
      </w:r>
    </w:p>
    <w:p w14:paraId="6A4D1B8B" w14:textId="01D1C5E6" w:rsidR="00B84675" w:rsidRPr="00D36B27" w:rsidRDefault="00FD2628" w:rsidP="00B84675">
      <w:pPr>
        <w:rPr>
          <w:lang w:val="fr-BE"/>
        </w:rPr>
      </w:pPr>
      <w:r>
        <w:rPr>
          <w:lang w:val="fr-BE"/>
        </w:rPr>
        <w:t>Conformément à l’art. 18 §1 de la Directive 2019/1152</w:t>
      </w:r>
      <w:r w:rsidR="00882488">
        <w:rPr>
          <w:lang w:val="fr-BE"/>
        </w:rPr>
        <w:t>,</w:t>
      </w:r>
      <w:r w:rsidR="003C793E" w:rsidRPr="00D36B27">
        <w:rPr>
          <w:lang w:val="fr-BE"/>
        </w:rPr>
        <w:t xml:space="preserve"> la prise de toute mesure préparatoire </w:t>
      </w:r>
      <w:r w:rsidR="00882488">
        <w:rPr>
          <w:lang w:val="fr-BE"/>
        </w:rPr>
        <w:t xml:space="preserve">en vue </w:t>
      </w:r>
      <w:r w:rsidR="003C793E" w:rsidRPr="00D36B27">
        <w:rPr>
          <w:lang w:val="fr-BE"/>
        </w:rPr>
        <w:t>d</w:t>
      </w:r>
      <w:r w:rsidR="00D17546">
        <w:rPr>
          <w:lang w:val="fr-BE"/>
        </w:rPr>
        <w:t>u</w:t>
      </w:r>
      <w:r w:rsidR="003C793E" w:rsidRPr="00D36B27">
        <w:rPr>
          <w:lang w:val="fr-BE"/>
        </w:rPr>
        <w:t xml:space="preserve"> licenciement</w:t>
      </w:r>
      <w:r w:rsidRPr="00FD2628">
        <w:rPr>
          <w:lang w:val="fr-BE"/>
        </w:rPr>
        <w:t xml:space="preserve"> </w:t>
      </w:r>
      <w:r w:rsidRPr="00D36B27">
        <w:rPr>
          <w:lang w:val="fr-BE"/>
        </w:rPr>
        <w:t>est assimilée à un licenciement</w:t>
      </w:r>
      <w:r w:rsidR="003C793E" w:rsidRPr="00D36B27">
        <w:rPr>
          <w:lang w:val="fr-BE"/>
        </w:rPr>
        <w:t>.</w:t>
      </w:r>
      <w:r w:rsidR="0005479F">
        <w:rPr>
          <w:lang w:val="fr-BE"/>
        </w:rPr>
        <w:t xml:space="preserve"> </w:t>
      </w:r>
      <w:r w:rsidR="00B32286">
        <w:rPr>
          <w:lang w:val="fr-BE"/>
        </w:rPr>
        <w:t xml:space="preserve">L’employeur doit donc être conscient que les préparatifs en vue d’un licenciement </w:t>
      </w:r>
      <w:r w:rsidR="00BD16E2">
        <w:rPr>
          <w:lang w:val="fr-BE"/>
        </w:rPr>
        <w:t>risquent de tomber pendant la période de protection et qu’il vau</w:t>
      </w:r>
      <w:r w:rsidR="00846B60">
        <w:rPr>
          <w:lang w:val="fr-BE"/>
        </w:rPr>
        <w:t>drait</w:t>
      </w:r>
      <w:r w:rsidR="00BD16E2">
        <w:rPr>
          <w:lang w:val="fr-BE"/>
        </w:rPr>
        <w:t xml:space="preserve"> donc mieux les reporter après la fin de cette période.</w:t>
      </w:r>
    </w:p>
    <w:p w14:paraId="6637C130" w14:textId="760020E6" w:rsidR="00784BF1" w:rsidRDefault="00784BF1" w:rsidP="006E74DA">
      <w:pPr>
        <w:pStyle w:val="Heading3"/>
        <w:rPr>
          <w:lang w:val="fr-BE"/>
        </w:rPr>
      </w:pPr>
      <w:bookmarkStart w:id="25" w:name="_Toc115962347"/>
      <w:r>
        <w:rPr>
          <w:lang w:val="fr-BE"/>
        </w:rPr>
        <w:t>Indemnisation</w:t>
      </w:r>
      <w:r w:rsidR="000803AC">
        <w:rPr>
          <w:lang w:val="fr-BE"/>
        </w:rPr>
        <w:t xml:space="preserve"> (art. 16 §4 et 17)</w:t>
      </w:r>
      <w:bookmarkEnd w:id="25"/>
    </w:p>
    <w:p w14:paraId="3AC41F83" w14:textId="5A7647F0" w:rsidR="00664956" w:rsidRDefault="00664956" w:rsidP="00664956">
      <w:pPr>
        <w:rPr>
          <w:lang w:val="fr-BE"/>
        </w:rPr>
      </w:pPr>
      <w:r w:rsidRPr="0085574C">
        <w:rPr>
          <w:lang w:val="fr-BE"/>
        </w:rPr>
        <w:t>Lorsque l</w:t>
      </w:r>
      <w:r w:rsidR="00847907">
        <w:rPr>
          <w:lang w:val="fr-BE"/>
        </w:rPr>
        <w:t>e licenciement</w:t>
      </w:r>
      <w:r w:rsidR="00EF6D13">
        <w:rPr>
          <w:rStyle w:val="FootnoteReference"/>
          <w:lang w:val="fr-BE"/>
        </w:rPr>
        <w:footnoteReference w:id="7"/>
      </w:r>
      <w:r w:rsidRPr="0085574C">
        <w:rPr>
          <w:lang w:val="fr-BE"/>
        </w:rPr>
        <w:t xml:space="preserve"> </w:t>
      </w:r>
      <w:r>
        <w:rPr>
          <w:lang w:val="fr-BE"/>
        </w:rPr>
        <w:t>n’est pas dûment justifié par des motifs étrangers à l’exercice des droits découlant de la CCT n°161,</w:t>
      </w:r>
      <w:r w:rsidRPr="0085574C">
        <w:rPr>
          <w:lang w:val="fr-BE"/>
        </w:rPr>
        <w:t xml:space="preserve"> l’employeur qui a pris la mesure doit payer au travailleur une indemnité qui correspond </w:t>
      </w:r>
      <w:r w:rsidRPr="00664956">
        <w:rPr>
          <w:u w:val="single"/>
          <w:lang w:val="fr-BE"/>
        </w:rPr>
        <w:t xml:space="preserve">au minimum à </w:t>
      </w:r>
      <w:r>
        <w:rPr>
          <w:u w:val="single"/>
          <w:lang w:val="fr-BE"/>
        </w:rPr>
        <w:t>quatre</w:t>
      </w:r>
      <w:r w:rsidRPr="00664956">
        <w:rPr>
          <w:u w:val="single"/>
          <w:lang w:val="fr-BE"/>
        </w:rPr>
        <w:t xml:space="preserve"> mois de rémunération et au maximum à </w:t>
      </w:r>
      <w:r>
        <w:rPr>
          <w:u w:val="single"/>
          <w:lang w:val="fr-BE"/>
        </w:rPr>
        <w:t>six</w:t>
      </w:r>
      <w:r w:rsidRPr="00664956">
        <w:rPr>
          <w:u w:val="single"/>
          <w:lang w:val="fr-BE"/>
        </w:rPr>
        <w:t xml:space="preserve"> mois de rémunération.</w:t>
      </w:r>
      <w:r>
        <w:rPr>
          <w:lang w:val="fr-BE"/>
        </w:rPr>
        <w:t xml:space="preserve"> Cette fourchette doit permettre au tribunal d’appliquer le principe de proportionnalité et de tenir compte de tous les faits de la cause </w:t>
      </w:r>
      <w:r w:rsidR="00653D26">
        <w:rPr>
          <w:lang w:val="fr-BE"/>
        </w:rPr>
        <w:t>avant de</w:t>
      </w:r>
      <w:r>
        <w:rPr>
          <w:lang w:val="fr-BE"/>
        </w:rPr>
        <w:t xml:space="preserve"> fixer le montant de l’indemnité.</w:t>
      </w:r>
    </w:p>
    <w:p w14:paraId="667F762B" w14:textId="2968959B" w:rsidR="008C125B" w:rsidRDefault="008C125B" w:rsidP="00664956">
      <w:pPr>
        <w:rPr>
          <w:lang w:val="fr-BE"/>
        </w:rPr>
      </w:pPr>
      <w:r>
        <w:rPr>
          <w:lang w:val="fr-BE"/>
        </w:rPr>
        <w:t xml:space="preserve">Dans leur Avis n°2134, les partenaires sociaux </w:t>
      </w:r>
      <w:r w:rsidR="00C32D7A">
        <w:rPr>
          <w:lang w:val="fr-BE"/>
        </w:rPr>
        <w:t>ont estimé</w:t>
      </w:r>
      <w:r w:rsidR="00A0570C">
        <w:rPr>
          <w:lang w:val="fr-BE"/>
        </w:rPr>
        <w:t xml:space="preserve"> qu’une indemnisation de 6 mois de rémunération s’applique</w:t>
      </w:r>
      <w:r w:rsidR="00A33C00">
        <w:rPr>
          <w:lang w:val="fr-BE"/>
        </w:rPr>
        <w:t xml:space="preserve"> lorsqu’</w:t>
      </w:r>
      <w:r w:rsidR="00A02CBC">
        <w:rPr>
          <w:lang w:val="fr-BE"/>
        </w:rPr>
        <w:t>il n’y a aucun mo</w:t>
      </w:r>
      <w:r w:rsidR="007B515B">
        <w:rPr>
          <w:lang w:val="fr-BE"/>
        </w:rPr>
        <w:t>tif à la base du licenciement, autre que celui de l’exercice du droit découlant de la CCT n°161</w:t>
      </w:r>
      <w:r w:rsidR="000F300D">
        <w:rPr>
          <w:lang w:val="fr-BE"/>
        </w:rPr>
        <w:t xml:space="preserve"> et que, si d’autres motifs que l’exercice de ce droit</w:t>
      </w:r>
      <w:r w:rsidR="003F6B64">
        <w:rPr>
          <w:lang w:val="fr-BE"/>
        </w:rPr>
        <w:t xml:space="preserve"> ont également été pris en considération dans le cadre de la décision du licenciement, une indemnisation plus basse peut être accordée. Cette précision a été ajoutée</w:t>
      </w:r>
      <w:r w:rsidR="00EB198C">
        <w:rPr>
          <w:lang w:val="fr-BE"/>
        </w:rPr>
        <w:t xml:space="preserve"> en contrepartie de la fixation d’une fourchette entre 4 et 6 mois de rémunération (plutôt que d’un forfait de 6 mois).</w:t>
      </w:r>
    </w:p>
    <w:p w14:paraId="6AE5D22D" w14:textId="05906A5D" w:rsidR="00784BF1" w:rsidRPr="00784BF1" w:rsidRDefault="00664956" w:rsidP="00784BF1">
      <w:pPr>
        <w:rPr>
          <w:lang w:val="fr-BE"/>
        </w:rPr>
      </w:pPr>
      <w:r>
        <w:rPr>
          <w:lang w:val="fr-BE"/>
        </w:rPr>
        <w:lastRenderedPageBreak/>
        <w:t xml:space="preserve">Cette indemnité n’est </w:t>
      </w:r>
      <w:r w:rsidRPr="00D36B27">
        <w:rPr>
          <w:lang w:val="fr-BE"/>
        </w:rPr>
        <w:t>pas cumulable avec toute autre indemnité qui est due par l’employeur à l’occasion de la fin du contrat de travail, y compris une indemnité pour abus de licenciement, à l’exception d’une indemnité de préavis, d’une indemnité de non-concurrence, d’une indemnité d’éviction ou d’une indemnité complémentaire qui est payée en plus des allocations sociales.</w:t>
      </w:r>
      <w:r w:rsidR="001025CA">
        <w:rPr>
          <w:lang w:val="fr-BE"/>
        </w:rPr>
        <w:t xml:space="preserve"> </w:t>
      </w:r>
      <w:r w:rsidR="008C125B">
        <w:rPr>
          <w:lang w:val="fr-BE"/>
        </w:rPr>
        <w:t>Les règles anti-cumul sont détaillées au pt 7.1.3 supra.</w:t>
      </w:r>
    </w:p>
    <w:p w14:paraId="093A1B9F" w14:textId="6DF1C2D6" w:rsidR="00E40463" w:rsidRPr="00E40463" w:rsidRDefault="00E40463" w:rsidP="00E40463">
      <w:pPr>
        <w:pStyle w:val="Heading2"/>
        <w:rPr>
          <w:lang w:val="fr-BE"/>
        </w:rPr>
      </w:pPr>
      <w:bookmarkStart w:id="26" w:name="_Toc115962348"/>
      <w:r>
        <w:rPr>
          <w:lang w:val="fr-BE"/>
        </w:rPr>
        <w:t>Sanctions pénales</w:t>
      </w:r>
      <w:bookmarkEnd w:id="26"/>
    </w:p>
    <w:p w14:paraId="6438E219" w14:textId="6FA61C50" w:rsidR="0009198D" w:rsidRPr="0009198D" w:rsidRDefault="000B63F7" w:rsidP="008023FC">
      <w:pPr>
        <w:rPr>
          <w:lang w:val="fr-BE"/>
        </w:rPr>
      </w:pPr>
      <w:r>
        <w:rPr>
          <w:lang w:val="fr-BE"/>
        </w:rPr>
        <w:t>Un article 174/2 sera inséré dans le Code Pénal Social par la loi de transposition de la Directive</w:t>
      </w:r>
      <w:r w:rsidR="00A47959">
        <w:rPr>
          <w:lang w:val="fr-BE"/>
        </w:rPr>
        <w:t xml:space="preserve"> 2019/1152 pour pénaliser </w:t>
      </w:r>
      <w:r w:rsidR="00A71564">
        <w:rPr>
          <w:lang w:val="fr-BE"/>
        </w:rPr>
        <w:t xml:space="preserve">(sanction de niveau 2) </w:t>
      </w:r>
      <w:r w:rsidR="00A47959">
        <w:rPr>
          <w:lang w:val="fr-BE"/>
        </w:rPr>
        <w:t>l’employeur</w:t>
      </w:r>
      <w:r w:rsidR="00A47959" w:rsidRPr="00A47959">
        <w:rPr>
          <w:lang w:val="fr-BE"/>
        </w:rPr>
        <w:t>, son préposé ou son mandataire qui</w:t>
      </w:r>
      <w:r w:rsidR="00A71564">
        <w:rPr>
          <w:lang w:val="fr-BE"/>
        </w:rPr>
        <w:t xml:space="preserve"> </w:t>
      </w:r>
      <w:r w:rsidR="00A47959" w:rsidRPr="00A47959">
        <w:rPr>
          <w:lang w:val="fr-BE"/>
        </w:rPr>
        <w:t>ne répond pas par écrit ou</w:t>
      </w:r>
      <w:r w:rsidR="00A71564">
        <w:rPr>
          <w:lang w:val="fr-BE"/>
        </w:rPr>
        <w:t xml:space="preserve"> </w:t>
      </w:r>
      <w:r w:rsidR="0009198D" w:rsidRPr="0009198D">
        <w:rPr>
          <w:lang w:val="fr-BE"/>
        </w:rPr>
        <w:t>par voie électronique, de manière motivée et dans le délai prévu, au travailleur qui remplit les conditions et qui demande une forme d’emploi plus sûre et plus prévisible</w:t>
      </w:r>
      <w:r w:rsidR="000D47B3">
        <w:rPr>
          <w:lang w:val="fr-BE"/>
        </w:rPr>
        <w:t>.</w:t>
      </w:r>
      <w:r w:rsidR="00B76A7F">
        <w:rPr>
          <w:lang w:val="fr-BE"/>
        </w:rPr>
        <w:t xml:space="preserve"> Le montant de l’amende imposée pourra être multiplié par le nombre de travailleurs concernés par l’infraction.</w:t>
      </w:r>
    </w:p>
    <w:p w14:paraId="58FFA1F7" w14:textId="57E82F18" w:rsidR="008023FC" w:rsidRDefault="00D7211C" w:rsidP="008023FC">
      <w:pPr>
        <w:pStyle w:val="Heading1"/>
        <w:rPr>
          <w:lang w:val="fr-BE"/>
        </w:rPr>
      </w:pPr>
      <w:bookmarkStart w:id="27" w:name="_Toc115962349"/>
      <w:r>
        <w:rPr>
          <w:lang w:val="fr-BE"/>
        </w:rPr>
        <w:t>Disposition</w:t>
      </w:r>
      <w:r w:rsidR="008023FC">
        <w:rPr>
          <w:lang w:val="fr-BE"/>
        </w:rPr>
        <w:t xml:space="preserve"> anti-abus</w:t>
      </w:r>
      <w:r w:rsidR="0059657D">
        <w:rPr>
          <w:lang w:val="fr-BE"/>
        </w:rPr>
        <w:t xml:space="preserve"> (art. 6 §5)</w:t>
      </w:r>
      <w:bookmarkEnd w:id="27"/>
    </w:p>
    <w:p w14:paraId="07AEB3EB" w14:textId="488CF6AC" w:rsidR="008023FC" w:rsidRDefault="00F625EF" w:rsidP="008023FC">
      <w:pPr>
        <w:rPr>
          <w:lang w:val="fr-BE"/>
        </w:rPr>
      </w:pPr>
      <w:r w:rsidRPr="007E6DAA">
        <w:rPr>
          <w:lang w:val="fr-BE"/>
        </w:rPr>
        <w:t xml:space="preserve">Le travailleur et l’employeur doivent s’abstenir de tout usage abusif des droits qui leur sont conférés par la </w:t>
      </w:r>
      <w:r w:rsidR="007E6DAA">
        <w:rPr>
          <w:lang w:val="fr-BE"/>
        </w:rPr>
        <w:t>CCT n°161</w:t>
      </w:r>
      <w:r w:rsidRPr="007E6DAA">
        <w:rPr>
          <w:lang w:val="fr-BE"/>
        </w:rPr>
        <w:t>. Ils ne peuvent faire usage de leurs droits que pour les objectifs pour lesquels ceux-ci ont été instaurés.</w:t>
      </w:r>
    </w:p>
    <w:p w14:paraId="11F757FC" w14:textId="77777777" w:rsidR="00302EA8" w:rsidRDefault="00A11020" w:rsidP="008023FC">
      <w:pPr>
        <w:rPr>
          <w:lang w:val="fr-BE"/>
        </w:rPr>
      </w:pPr>
      <w:r>
        <w:rPr>
          <w:lang w:val="fr-BE"/>
        </w:rPr>
        <w:t xml:space="preserve">Ainsi, </w:t>
      </w:r>
      <w:r w:rsidRPr="00A11020">
        <w:rPr>
          <w:lang w:val="fr-BE"/>
        </w:rPr>
        <w:t xml:space="preserve">la demande du travailleur </w:t>
      </w:r>
      <w:r>
        <w:rPr>
          <w:lang w:val="fr-BE"/>
        </w:rPr>
        <w:t>doit</w:t>
      </w:r>
      <w:r w:rsidRPr="00A11020">
        <w:rPr>
          <w:lang w:val="fr-BE"/>
        </w:rPr>
        <w:t xml:space="preserve"> effectivement </w:t>
      </w:r>
      <w:r>
        <w:rPr>
          <w:lang w:val="fr-BE"/>
        </w:rPr>
        <w:t xml:space="preserve">être </w:t>
      </w:r>
      <w:r w:rsidRPr="00A11020">
        <w:rPr>
          <w:lang w:val="fr-BE"/>
        </w:rPr>
        <w:t xml:space="preserve">destinée à obtenir une forme d’emploi comportant des conditions de travail plus prévisibles et plus sûres, et l’employeur </w:t>
      </w:r>
      <w:r w:rsidR="008D5438">
        <w:rPr>
          <w:lang w:val="fr-BE"/>
        </w:rPr>
        <w:t xml:space="preserve">doit </w:t>
      </w:r>
      <w:r w:rsidRPr="00A11020">
        <w:rPr>
          <w:lang w:val="fr-BE"/>
        </w:rPr>
        <w:t>examine</w:t>
      </w:r>
      <w:r w:rsidR="008D5438">
        <w:rPr>
          <w:lang w:val="fr-BE"/>
        </w:rPr>
        <w:t>r</w:t>
      </w:r>
      <w:r w:rsidRPr="00A11020">
        <w:rPr>
          <w:lang w:val="fr-BE"/>
        </w:rPr>
        <w:t xml:space="preserve"> cette demande </w:t>
      </w:r>
      <w:r w:rsidR="008D5438">
        <w:rPr>
          <w:lang w:val="fr-BE"/>
        </w:rPr>
        <w:t>sérieus</w:t>
      </w:r>
      <w:r w:rsidRPr="00A11020">
        <w:rPr>
          <w:lang w:val="fr-BE"/>
        </w:rPr>
        <w:t>ement. Le travailleur doit indiquer dans sa demande la forme d’emploi comportant des conditions de travail plus prévisibles et plus sûres pour laquelle il souhaite entrer en ligne de compte</w:t>
      </w:r>
      <w:r w:rsidR="002A0C30">
        <w:rPr>
          <w:lang w:val="fr-BE"/>
        </w:rPr>
        <w:t>.</w:t>
      </w:r>
      <w:r w:rsidRPr="00A11020">
        <w:rPr>
          <w:lang w:val="fr-BE"/>
        </w:rPr>
        <w:t xml:space="preserve"> </w:t>
      </w:r>
      <w:r w:rsidR="00302EA8">
        <w:rPr>
          <w:lang w:val="fr-BE"/>
        </w:rPr>
        <w:t>Cette</w:t>
      </w:r>
      <w:r w:rsidRPr="00A11020">
        <w:rPr>
          <w:lang w:val="fr-BE"/>
        </w:rPr>
        <w:t xml:space="preserve"> disposition s’oppose à ce que le travailleur fasse des demandes aléatoires dans le seul but de bénéficier de la protection contre le licenciement qui y est liée. </w:t>
      </w:r>
    </w:p>
    <w:p w14:paraId="299FAC9D" w14:textId="7567C3F5" w:rsidR="008023FC" w:rsidRPr="00391A1A" w:rsidRDefault="00A11020" w:rsidP="008023FC">
      <w:pPr>
        <w:rPr>
          <w:u w:val="single"/>
          <w:lang w:val="fr-BE"/>
        </w:rPr>
      </w:pPr>
      <w:r w:rsidRPr="00A11020">
        <w:rPr>
          <w:lang w:val="fr-BE"/>
        </w:rPr>
        <w:t>L’employeur doit répondre à la demande du travailleur et il doit motiver cette réponse</w:t>
      </w:r>
      <w:r w:rsidR="00A458FE">
        <w:rPr>
          <w:lang w:val="fr-BE"/>
        </w:rPr>
        <w:t xml:space="preserve"> (</w:t>
      </w:r>
      <w:r w:rsidRPr="00A11020">
        <w:rPr>
          <w:lang w:val="fr-BE"/>
        </w:rPr>
        <w:t>sauf s’il accepte la demande</w:t>
      </w:r>
      <w:r w:rsidR="00A458FE">
        <w:rPr>
          <w:lang w:val="fr-BE"/>
        </w:rPr>
        <w:t>).</w:t>
      </w:r>
      <w:r w:rsidRPr="00A11020">
        <w:rPr>
          <w:lang w:val="fr-BE"/>
        </w:rPr>
        <w:t xml:space="preserve">  En indiquant les motifs concrets de sa décision de refus ou du report ou de la contreproposition</w:t>
      </w:r>
      <w:r w:rsidR="002D4A71">
        <w:rPr>
          <w:lang w:val="fr-BE"/>
        </w:rPr>
        <w:t>, il doit tenir compte des</w:t>
      </w:r>
      <w:r w:rsidR="00F15C67">
        <w:rPr>
          <w:lang w:val="fr-BE"/>
        </w:rPr>
        <w:t xml:space="preserve"> conditions objectives </w:t>
      </w:r>
      <w:r w:rsidR="00194EE7">
        <w:rPr>
          <w:lang w:val="fr-BE"/>
        </w:rPr>
        <w:t>liées au travailleur et</w:t>
      </w:r>
      <w:r w:rsidR="002B2F2D">
        <w:rPr>
          <w:lang w:val="fr-BE"/>
        </w:rPr>
        <w:t xml:space="preserve"> à l’entreprise (cf. art. 6 §3)</w:t>
      </w:r>
      <w:r w:rsidRPr="00A11020">
        <w:rPr>
          <w:lang w:val="fr-BE"/>
        </w:rPr>
        <w:t xml:space="preserve">. L’article 6, § 5 de la </w:t>
      </w:r>
      <w:r w:rsidR="004F29DB">
        <w:rPr>
          <w:lang w:val="fr-BE"/>
        </w:rPr>
        <w:t>CCT n°161</w:t>
      </w:r>
      <w:r w:rsidRPr="00A11020">
        <w:rPr>
          <w:lang w:val="fr-BE"/>
        </w:rPr>
        <w:t xml:space="preserve"> requiert également que l’employeur n’interrompe pas la succession des contrats de travail dans le seul but de retarder l’acquisition de l’ancienneté de six mois par le travailleur</w:t>
      </w:r>
      <w:r w:rsidR="00D17761">
        <w:rPr>
          <w:lang w:val="fr-BE"/>
        </w:rPr>
        <w:t>.</w:t>
      </w:r>
    </w:p>
    <w:p w14:paraId="28D590E8" w14:textId="13336C0D" w:rsidR="008A3621" w:rsidRDefault="00391A1A" w:rsidP="008023FC">
      <w:pPr>
        <w:rPr>
          <w:lang w:val="fr-BE"/>
        </w:rPr>
      </w:pPr>
      <w:r w:rsidRPr="00391A1A">
        <w:rPr>
          <w:u w:val="single"/>
          <w:lang w:val="fr-BE"/>
        </w:rPr>
        <w:t>Remarque finale</w:t>
      </w:r>
      <w:r>
        <w:rPr>
          <w:lang w:val="fr-BE"/>
        </w:rPr>
        <w:t> : l</w:t>
      </w:r>
      <w:r w:rsidR="003C1903">
        <w:rPr>
          <w:lang w:val="fr-BE"/>
        </w:rPr>
        <w:t>a CCT n°161 instaure des droits et des obligations équilibrés</w:t>
      </w:r>
      <w:r w:rsidR="00283BE9">
        <w:rPr>
          <w:lang w:val="fr-BE"/>
        </w:rPr>
        <w:t xml:space="preserve">, </w:t>
      </w:r>
      <w:r w:rsidR="00E57EAD">
        <w:rPr>
          <w:lang w:val="fr-BE"/>
        </w:rPr>
        <w:t>ainsi qu’une procédure simplifiée</w:t>
      </w:r>
      <w:r w:rsidR="00283BE9">
        <w:rPr>
          <w:lang w:val="fr-BE"/>
        </w:rPr>
        <w:t xml:space="preserve">, mais </w:t>
      </w:r>
      <w:r w:rsidR="00E57EAD">
        <w:rPr>
          <w:lang w:val="fr-BE"/>
        </w:rPr>
        <w:t>elle n’introduit pas une</w:t>
      </w:r>
      <w:r w:rsidR="00283BE9">
        <w:rPr>
          <w:lang w:val="fr-BE"/>
        </w:rPr>
        <w:t xml:space="preserve"> obligation de résultat quant à l’octroi de la formule d’emploi demandée.</w:t>
      </w:r>
      <w:r w:rsidR="00F13814" w:rsidRPr="00F13814">
        <w:rPr>
          <w:lang w:val="fr-BE"/>
        </w:rPr>
        <w:t xml:space="preserve"> </w:t>
      </w:r>
      <w:r w:rsidR="00F13814">
        <w:rPr>
          <w:lang w:val="fr-BE"/>
        </w:rPr>
        <w:t>Seul un dialogue constructif au sein de l’entreprise permettra de rencontrer au mieux les besoins légitimes respectifs du travailleur demandeur et de l’employeur, tout en tenant compte des besoins des collègues du travailleur concerné.</w:t>
      </w:r>
    </w:p>
    <w:p w14:paraId="41D9F0BA" w14:textId="015503E9" w:rsidR="008023FC" w:rsidRPr="008023FC" w:rsidRDefault="008023FC" w:rsidP="008023FC">
      <w:pPr>
        <w:pStyle w:val="Heading1"/>
        <w:rPr>
          <w:lang w:val="fr-BE"/>
        </w:rPr>
      </w:pPr>
      <w:bookmarkStart w:id="28" w:name="_Toc115962350"/>
      <w:r>
        <w:rPr>
          <w:lang w:val="fr-BE"/>
        </w:rPr>
        <w:t>Entrée en vigueur</w:t>
      </w:r>
      <w:r w:rsidR="00890C84">
        <w:rPr>
          <w:lang w:val="fr-BE"/>
        </w:rPr>
        <w:t xml:space="preserve"> (art. 18)</w:t>
      </w:r>
      <w:bookmarkEnd w:id="28"/>
    </w:p>
    <w:p w14:paraId="28BD5E2A" w14:textId="255BECFE" w:rsidR="00990EA5" w:rsidRDefault="006F17EE" w:rsidP="00990EA5">
      <w:pPr>
        <w:rPr>
          <w:lang w:val="fr-BE"/>
        </w:rPr>
      </w:pPr>
      <w:r>
        <w:rPr>
          <w:lang w:val="fr-BE"/>
        </w:rPr>
        <w:t>La CCT n°161 est entrée en vigueur le 1</w:t>
      </w:r>
      <w:r w:rsidRPr="006F17EE">
        <w:rPr>
          <w:vertAlign w:val="superscript"/>
          <w:lang w:val="fr-BE"/>
        </w:rPr>
        <w:t>er</w:t>
      </w:r>
      <w:r>
        <w:rPr>
          <w:lang w:val="fr-BE"/>
        </w:rPr>
        <w:t xml:space="preserve"> octobre 2022.</w:t>
      </w:r>
    </w:p>
    <w:p w14:paraId="483EB4C9" w14:textId="15FDCDBC" w:rsidR="00E40463" w:rsidRDefault="00CD1030" w:rsidP="00990EA5">
      <w:pPr>
        <w:rPr>
          <w:lang w:val="fr-BE"/>
        </w:rPr>
      </w:pPr>
      <w:r>
        <w:rPr>
          <w:lang w:val="fr-BE"/>
        </w:rPr>
        <w:t>Les parties signataires ont demandé au Ministre fédéral de l’emploi que l</w:t>
      </w:r>
      <w:r w:rsidR="00F87F25">
        <w:rPr>
          <w:lang w:val="fr-BE"/>
        </w:rPr>
        <w:t>a CCT n°161 soit rendue obligatoire par A.R.</w:t>
      </w:r>
    </w:p>
    <w:p w14:paraId="2AEFD323" w14:textId="77777777" w:rsidR="00E40463" w:rsidRPr="006F1363" w:rsidRDefault="00E40463" w:rsidP="006F1363">
      <w:pPr>
        <w:pStyle w:val="ListParagraph"/>
        <w:numPr>
          <w:ilvl w:val="0"/>
          <w:numId w:val="19"/>
        </w:numPr>
        <w:rPr>
          <w:lang w:val="fr-BE"/>
        </w:rPr>
      </w:pPr>
    </w:p>
    <w:sectPr w:rsidR="00E40463" w:rsidRPr="006F1363" w:rsidSect="00A0084F">
      <w:headerReference w:type="even" r:id="rId16"/>
      <w:headerReference w:type="default" r:id="rId17"/>
      <w:footerReference w:type="even" r:id="rId18"/>
      <w:footerReference w:type="default" r:id="rId19"/>
      <w:headerReference w:type="first" r:id="rId20"/>
      <w:footerReference w:type="first" r:id="rId21"/>
      <w:pgSz w:w="11906" w:h="16838"/>
      <w:pgMar w:top="2268" w:right="1134" w:bottom="1418" w:left="1134" w:header="5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7FFA" w14:textId="77777777" w:rsidR="00B02B70" w:rsidRDefault="00B02B70" w:rsidP="00234CD3">
      <w:r>
        <w:separator/>
      </w:r>
    </w:p>
  </w:endnote>
  <w:endnote w:type="continuationSeparator" w:id="0">
    <w:p w14:paraId="0E0F3EE5" w14:textId="77777777" w:rsidR="00B02B70" w:rsidRDefault="00B02B70" w:rsidP="00234CD3">
      <w:r>
        <w:continuationSeparator/>
      </w:r>
    </w:p>
  </w:endnote>
  <w:endnote w:type="continuationNotice" w:id="1">
    <w:p w14:paraId="03BE6638" w14:textId="77777777" w:rsidR="00B02B70" w:rsidRDefault="00B02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77A8" w14:textId="77777777" w:rsidR="009A6BF5" w:rsidRDefault="009A6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5441" w14:textId="6D4FAF03" w:rsidR="00EE0B62" w:rsidRDefault="00EE0B62" w:rsidP="003E214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82"/>
    </w:tblGrid>
    <w:sdt>
      <w:sdtPr>
        <w:id w:val="158504083"/>
        <w:docPartObj>
          <w:docPartGallery w:val="Page Numbers (Bottom of Page)"/>
          <w:docPartUnique/>
        </w:docPartObj>
      </w:sdtPr>
      <w:sdtEndPr>
        <w:rPr>
          <w:color w:val="4682BE" w:themeColor="text1"/>
        </w:rPr>
      </w:sdtEndPr>
      <w:sdtContent>
        <w:tr w:rsidR="001B21E4" w14:paraId="1228FBE6" w14:textId="77777777" w:rsidTr="002E202B">
          <w:tc>
            <w:tcPr>
              <w:tcW w:w="6946" w:type="dxa"/>
            </w:tcPr>
            <w:p w14:paraId="22DF4A50" w14:textId="77777777" w:rsidR="001B21E4" w:rsidRPr="00172D47" w:rsidRDefault="001B21E4" w:rsidP="001B21E4">
              <w:pPr>
                <w:pStyle w:val="Footer"/>
                <w:tabs>
                  <w:tab w:val="clear" w:pos="4513"/>
                  <w:tab w:val="clear" w:pos="9026"/>
                </w:tabs>
                <w:spacing w:after="0"/>
                <w:rPr>
                  <w:bCs/>
                  <w:color w:val="4682BE" w:themeColor="text1"/>
                  <w:sz w:val="24"/>
                  <w:szCs w:val="24"/>
                  <w:lang w:val="fr-BE"/>
                </w:rPr>
              </w:pPr>
            </w:p>
          </w:tc>
          <w:tc>
            <w:tcPr>
              <w:tcW w:w="2682" w:type="dxa"/>
            </w:tcPr>
            <w:p w14:paraId="6B32AD23" w14:textId="77777777" w:rsidR="001B21E4" w:rsidRDefault="001B21E4" w:rsidP="001B21E4">
              <w:pPr>
                <w:pStyle w:val="Footer"/>
                <w:spacing w:after="0"/>
                <w:jc w:val="right"/>
                <w:rPr>
                  <w:bCs/>
                  <w:color w:val="4682BE" w:themeColor="text1"/>
                  <w:sz w:val="24"/>
                  <w:szCs w:val="24"/>
                </w:rPr>
              </w:pPr>
              <w:r w:rsidRPr="000B5BC3">
                <w:rPr>
                  <w:bCs/>
                  <w:color w:val="4682BE" w:themeColor="text1"/>
                  <w:sz w:val="24"/>
                  <w:szCs w:val="24"/>
                </w:rPr>
                <w:fldChar w:fldCharType="begin"/>
              </w:r>
              <w:r w:rsidRPr="000B5BC3">
                <w:rPr>
                  <w:bCs/>
                  <w:color w:val="4682BE" w:themeColor="text1"/>
                </w:rPr>
                <w:instrText xml:space="preserve"> PAGE </w:instrText>
              </w:r>
              <w:r w:rsidRPr="000B5BC3">
                <w:rPr>
                  <w:bCs/>
                  <w:color w:val="4682BE" w:themeColor="text1"/>
                  <w:sz w:val="24"/>
                  <w:szCs w:val="24"/>
                </w:rPr>
                <w:fldChar w:fldCharType="separate"/>
              </w:r>
              <w:r>
                <w:rPr>
                  <w:bCs/>
                  <w:color w:val="4682BE" w:themeColor="text1"/>
                  <w:sz w:val="24"/>
                  <w:szCs w:val="24"/>
                </w:rPr>
                <w:t>2</w:t>
              </w:r>
              <w:r w:rsidRPr="000B5BC3">
                <w:rPr>
                  <w:bCs/>
                  <w:color w:val="4682BE" w:themeColor="text1"/>
                  <w:sz w:val="24"/>
                  <w:szCs w:val="24"/>
                </w:rPr>
                <w:fldChar w:fldCharType="end"/>
              </w:r>
            </w:p>
          </w:tc>
        </w:tr>
      </w:sdtContent>
    </w:sdt>
  </w:tbl>
  <w:p w14:paraId="24F9EBFF" w14:textId="77777777" w:rsidR="001B21E4" w:rsidRDefault="001B21E4" w:rsidP="003E2147">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FAA8" w14:textId="77777777" w:rsidR="00476EC2" w:rsidRPr="0093211D" w:rsidRDefault="00476EC2" w:rsidP="00AA6B45">
    <w:pPr>
      <w:spacing w:after="0" w:line="240" w:lineRule="auto"/>
      <w:jc w:val="right"/>
      <w:rPr>
        <w:color w:val="4682BE" w:themeColor="text1"/>
        <w:sz w:val="16"/>
        <w:szCs w:val="16"/>
        <w:lang w:val="fr-BE"/>
      </w:rPr>
    </w:pPr>
    <w:proofErr w:type="spellStart"/>
    <w:r w:rsidRPr="0093211D">
      <w:rPr>
        <w:b/>
        <w:color w:val="4682BE" w:themeColor="text1"/>
        <w:sz w:val="16"/>
        <w:szCs w:val="16"/>
        <w:lang w:val="fr-BE"/>
      </w:rPr>
      <w:t>Verbond</w:t>
    </w:r>
    <w:proofErr w:type="spellEnd"/>
    <w:r w:rsidRPr="0093211D">
      <w:rPr>
        <w:b/>
        <w:color w:val="4682BE" w:themeColor="text1"/>
        <w:sz w:val="16"/>
        <w:szCs w:val="16"/>
        <w:lang w:val="fr-BE"/>
      </w:rPr>
      <w:t xml:space="preserve"> van </w:t>
    </w:r>
    <w:proofErr w:type="spellStart"/>
    <w:r w:rsidRPr="0093211D">
      <w:rPr>
        <w:b/>
        <w:color w:val="4682BE" w:themeColor="text1"/>
        <w:sz w:val="16"/>
        <w:szCs w:val="16"/>
        <w:lang w:val="fr-BE"/>
      </w:rPr>
      <w:t>Belgische</w:t>
    </w:r>
    <w:proofErr w:type="spellEnd"/>
    <w:r w:rsidRPr="0093211D">
      <w:rPr>
        <w:b/>
        <w:color w:val="4682BE" w:themeColor="text1"/>
        <w:sz w:val="16"/>
        <w:szCs w:val="16"/>
        <w:lang w:val="fr-BE"/>
      </w:rPr>
      <w:t xml:space="preserve"> </w:t>
    </w:r>
    <w:proofErr w:type="spellStart"/>
    <w:r w:rsidRPr="0093211D">
      <w:rPr>
        <w:b/>
        <w:color w:val="4682BE" w:themeColor="text1"/>
        <w:sz w:val="16"/>
        <w:szCs w:val="16"/>
        <w:lang w:val="fr-BE"/>
      </w:rPr>
      <w:t>Ondernemingen</w:t>
    </w:r>
    <w:proofErr w:type="spellEnd"/>
    <w:r w:rsidRPr="0093211D">
      <w:rPr>
        <w:b/>
        <w:color w:val="4682BE" w:themeColor="text1"/>
        <w:sz w:val="16"/>
        <w:szCs w:val="16"/>
        <w:lang w:val="fr-BE"/>
      </w:rPr>
      <w:t xml:space="preserve"> </w:t>
    </w:r>
    <w:proofErr w:type="spellStart"/>
    <w:r w:rsidRPr="0093211D">
      <w:rPr>
        <w:b/>
        <w:color w:val="4682BE" w:themeColor="text1"/>
        <w:sz w:val="16"/>
        <w:szCs w:val="16"/>
        <w:lang w:val="fr-BE"/>
      </w:rPr>
      <w:t>vzw</w:t>
    </w:r>
    <w:proofErr w:type="spellEnd"/>
    <w:r w:rsidRPr="0093211D">
      <w:rPr>
        <w:color w:val="4682BE" w:themeColor="text1"/>
        <w:sz w:val="16"/>
        <w:szCs w:val="16"/>
        <w:lang w:val="fr-BE"/>
      </w:rPr>
      <w:t xml:space="preserve"> </w:t>
    </w:r>
    <w:r w:rsidRPr="0093211D">
      <w:rPr>
        <w:b/>
        <w:color w:val="96C83C" w:themeColor="text2"/>
        <w:sz w:val="16"/>
        <w:szCs w:val="16"/>
        <w:lang w:val="fr-BE"/>
      </w:rPr>
      <w:t>|</w:t>
    </w:r>
    <w:r w:rsidRPr="0093211D">
      <w:rPr>
        <w:color w:val="4682BE" w:themeColor="text1"/>
        <w:sz w:val="16"/>
        <w:szCs w:val="16"/>
        <w:lang w:val="fr-BE"/>
      </w:rPr>
      <w:t xml:space="preserve"> </w:t>
    </w:r>
    <w:r w:rsidRPr="0093211D">
      <w:rPr>
        <w:b/>
        <w:color w:val="4682BE" w:themeColor="text1"/>
        <w:sz w:val="16"/>
        <w:szCs w:val="16"/>
        <w:lang w:val="fr-BE"/>
      </w:rPr>
      <w:t>Fédération des entreprises de Belgique asbl</w:t>
    </w:r>
  </w:p>
  <w:p w14:paraId="0BA9AEC4" w14:textId="7AF1947E" w:rsidR="00476EC2" w:rsidRPr="0093211D" w:rsidRDefault="00476EC2" w:rsidP="00AA6B45">
    <w:pPr>
      <w:spacing w:after="0" w:line="240" w:lineRule="auto"/>
      <w:jc w:val="right"/>
      <w:rPr>
        <w:b/>
        <w:color w:val="4682BE" w:themeColor="text1"/>
        <w:sz w:val="16"/>
        <w:szCs w:val="16"/>
        <w:lang w:val="fr-BE"/>
      </w:rPr>
    </w:pPr>
    <w:r w:rsidRPr="0093211D">
      <w:rPr>
        <w:color w:val="4682BE" w:themeColor="text1"/>
        <w:sz w:val="16"/>
        <w:szCs w:val="16"/>
        <w:lang w:val="fr-BE"/>
      </w:rPr>
      <w:t xml:space="preserve">Rue </w:t>
    </w:r>
    <w:proofErr w:type="spellStart"/>
    <w:r w:rsidRPr="0093211D">
      <w:rPr>
        <w:color w:val="4682BE" w:themeColor="text1"/>
        <w:sz w:val="16"/>
        <w:szCs w:val="16"/>
        <w:lang w:val="fr-BE"/>
      </w:rPr>
      <w:t>Ravensteinstraat</w:t>
    </w:r>
    <w:proofErr w:type="spellEnd"/>
    <w:r w:rsidRPr="0093211D">
      <w:rPr>
        <w:color w:val="4682BE" w:themeColor="text1"/>
        <w:sz w:val="16"/>
        <w:szCs w:val="16"/>
        <w:lang w:val="fr-BE"/>
      </w:rPr>
      <w:t xml:space="preserve"> 4, B-1000 Brussel/Bruxelles </w:t>
    </w:r>
    <w:r w:rsidRPr="0093211D">
      <w:rPr>
        <w:b/>
        <w:color w:val="96C83C" w:themeColor="text2"/>
        <w:sz w:val="16"/>
        <w:szCs w:val="16"/>
        <w:lang w:val="fr-BE"/>
      </w:rPr>
      <w:t>|</w:t>
    </w:r>
    <w:r w:rsidRPr="0093211D">
      <w:rPr>
        <w:color w:val="4682BE" w:themeColor="text1"/>
        <w:sz w:val="16"/>
        <w:szCs w:val="16"/>
        <w:lang w:val="fr-BE"/>
      </w:rPr>
      <w:t xml:space="preserve"> </w:t>
    </w:r>
    <w:r w:rsidR="009A6BF5">
      <w:rPr>
        <w:color w:val="4682BE" w:themeColor="text1"/>
        <w:sz w:val="16"/>
        <w:szCs w:val="16"/>
        <w:lang w:val="fr-BE"/>
      </w:rPr>
      <w:t>BE0</w:t>
    </w:r>
    <w:r w:rsidRPr="0093211D">
      <w:rPr>
        <w:color w:val="4682BE" w:themeColor="text1"/>
        <w:sz w:val="16"/>
        <w:szCs w:val="16"/>
        <w:lang w:val="fr-BE"/>
      </w:rPr>
      <w:t>476.519.923 – RPR Brussel – RPM Bruxelles</w:t>
    </w:r>
  </w:p>
  <w:p w14:paraId="6B342472" w14:textId="316319C8" w:rsidR="00FC42B0" w:rsidRPr="0093211D" w:rsidRDefault="00476EC2" w:rsidP="00AA6B45">
    <w:pPr>
      <w:spacing w:after="0" w:line="240" w:lineRule="auto"/>
      <w:jc w:val="right"/>
      <w:rPr>
        <w:color w:val="4682BE" w:themeColor="text1"/>
        <w:sz w:val="16"/>
        <w:szCs w:val="16"/>
        <w:lang w:val="fr-BE"/>
      </w:rPr>
    </w:pPr>
    <w:r w:rsidRPr="0093211D">
      <w:rPr>
        <w:color w:val="4682BE" w:themeColor="text1"/>
        <w:sz w:val="16"/>
        <w:szCs w:val="16"/>
        <w:lang w:val="fr-BE"/>
      </w:rPr>
      <w:t>info@vbo-feb.be</w:t>
    </w:r>
    <w:r w:rsidRPr="0093211D">
      <w:rPr>
        <w:b/>
        <w:color w:val="4682BE" w:themeColor="text1"/>
        <w:sz w:val="16"/>
        <w:szCs w:val="16"/>
        <w:lang w:val="fr-BE"/>
      </w:rPr>
      <w:t xml:space="preserve"> </w:t>
    </w:r>
    <w:r w:rsidRPr="0093211D">
      <w:rPr>
        <w:b/>
        <w:color w:val="96C83C" w:themeColor="text2"/>
        <w:sz w:val="16"/>
        <w:szCs w:val="16"/>
        <w:lang w:val="fr-BE"/>
      </w:rPr>
      <w:t>|</w:t>
    </w:r>
    <w:r w:rsidRPr="0093211D">
      <w:rPr>
        <w:b/>
        <w:color w:val="4682BE" w:themeColor="text1"/>
        <w:sz w:val="16"/>
        <w:szCs w:val="16"/>
        <w:lang w:val="fr-BE"/>
      </w:rPr>
      <w:t xml:space="preserve"> </w:t>
    </w:r>
    <w:r w:rsidRPr="0093211D">
      <w:rPr>
        <w:color w:val="4682BE" w:themeColor="text1"/>
        <w:sz w:val="16"/>
        <w:szCs w:val="16"/>
        <w:lang w:val="fr-BE"/>
      </w:rPr>
      <w:t xml:space="preserve">T +32 2 515 08 11 </w:t>
    </w:r>
    <w:r w:rsidRPr="0093211D">
      <w:rPr>
        <w:b/>
        <w:color w:val="96C83C" w:themeColor="text2"/>
        <w:sz w:val="16"/>
        <w:szCs w:val="16"/>
        <w:lang w:val="fr-BE"/>
      </w:rPr>
      <w:t>|</w:t>
    </w:r>
    <w:r w:rsidRPr="0093211D">
      <w:rPr>
        <w:color w:val="4682BE" w:themeColor="text1"/>
        <w:sz w:val="16"/>
        <w:szCs w:val="16"/>
        <w:lang w:val="fr-BE"/>
      </w:rPr>
      <w:t xml:space="preserve"> </w:t>
    </w:r>
    <w:sdt>
      <w:sdtPr>
        <w:rPr>
          <w:color w:val="4682BE" w:themeColor="text1"/>
          <w:sz w:val="16"/>
          <w:szCs w:val="16"/>
          <w:lang w:val="fr-BE"/>
        </w:rPr>
        <w:tag w:val="EMPL_Extra2"/>
        <w:id w:val="-1823577812"/>
      </w:sdtPr>
      <w:sdtContent>
        <w:r w:rsidR="00E761EB">
          <w:rPr>
            <w:color w:val="4682BE" w:themeColor="text1"/>
            <w:sz w:val="16"/>
            <w:szCs w:val="16"/>
            <w:lang w:val="fr-BE"/>
          </w:rPr>
          <w:t>ah@vbo-feb.be</w:t>
        </w:r>
      </w:sdtContent>
    </w:sdt>
    <w:r w:rsidRPr="0093211D">
      <w:rPr>
        <w:color w:val="4682BE" w:themeColor="text1"/>
        <w:sz w:val="16"/>
        <w:szCs w:val="16"/>
        <w:lang w:val="fr-BE"/>
      </w:rPr>
      <w:t xml:space="preserve"> </w:t>
    </w:r>
    <w:r w:rsidRPr="0093211D">
      <w:rPr>
        <w:b/>
        <w:color w:val="96C83C" w:themeColor="text2"/>
        <w:sz w:val="16"/>
        <w:szCs w:val="16"/>
        <w:lang w:val="fr-BE"/>
      </w:rPr>
      <w:t>|</w:t>
    </w:r>
    <w:r w:rsidRPr="0093211D">
      <w:rPr>
        <w:color w:val="4682BE" w:themeColor="text1"/>
        <w:sz w:val="16"/>
        <w:szCs w:val="16"/>
        <w:lang w:val="fr-BE"/>
      </w:rPr>
      <w:t xml:space="preserve"> </w:t>
    </w:r>
    <w:hyperlink r:id="rId1" w:history="1">
      <w:r w:rsidRPr="0093211D">
        <w:rPr>
          <w:color w:val="4682BE" w:themeColor="text1"/>
          <w:sz w:val="16"/>
          <w:szCs w:val="16"/>
          <w:u w:val="single"/>
          <w:lang w:val="fr-BE"/>
        </w:rPr>
        <w:t>www.vbo-feb.be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0A4D" w14:textId="77777777" w:rsidR="00B02B70" w:rsidRDefault="00B02B70" w:rsidP="00234CD3">
      <w:r>
        <w:separator/>
      </w:r>
    </w:p>
  </w:footnote>
  <w:footnote w:type="continuationSeparator" w:id="0">
    <w:p w14:paraId="13D76BB9" w14:textId="77777777" w:rsidR="00B02B70" w:rsidRDefault="00B02B70" w:rsidP="00234CD3">
      <w:r>
        <w:continuationSeparator/>
      </w:r>
    </w:p>
  </w:footnote>
  <w:footnote w:type="continuationNotice" w:id="1">
    <w:p w14:paraId="6EC36A6E" w14:textId="77777777" w:rsidR="00B02B70" w:rsidRDefault="00B02B70">
      <w:pPr>
        <w:spacing w:after="0" w:line="240" w:lineRule="auto"/>
      </w:pPr>
    </w:p>
  </w:footnote>
  <w:footnote w:id="2">
    <w:p w14:paraId="630654FF" w14:textId="481824A8" w:rsidR="00C269C4" w:rsidRPr="00C269C4" w:rsidRDefault="00C269C4" w:rsidP="00C269C4">
      <w:pPr>
        <w:rPr>
          <w:i/>
          <w:iCs/>
          <w:lang w:val="fr-BE"/>
        </w:rPr>
      </w:pPr>
      <w:r>
        <w:rPr>
          <w:rStyle w:val="FootnoteReference"/>
        </w:rPr>
        <w:footnoteRef/>
      </w:r>
      <w:r w:rsidRPr="00C269C4">
        <w:rPr>
          <w:lang w:val="fr-BE"/>
        </w:rPr>
        <w:t xml:space="preserve"> </w:t>
      </w:r>
      <w:r>
        <w:rPr>
          <w:lang w:val="fr-BE"/>
        </w:rPr>
        <w:t>Considérant n°36 </w:t>
      </w:r>
      <w:r w:rsidRPr="00C269C4">
        <w:rPr>
          <w:sz w:val="20"/>
          <w:szCs w:val="20"/>
          <w:lang w:val="fr-BE"/>
        </w:rPr>
        <w:t xml:space="preserve">: </w:t>
      </w:r>
      <w:r w:rsidRPr="00C269C4">
        <w:rPr>
          <w:i/>
          <w:iCs/>
          <w:sz w:val="20"/>
          <w:szCs w:val="20"/>
          <w:lang w:val="fr-BE"/>
        </w:rPr>
        <w:t>Lorsque les employeurs ont la possibilité de proposer des contrats de travail à temps plein ou à durée indéterminée aux travailleurs occupant des formes d’emploi atypiques, une transition vers des formes d’emploi plus sûres devrait être encouragée, conformément aux principes du socle européen des droits sociaux. Les travailleurs devraient pouvoir demander une autre forme d’emploi plus sûre et plus prévisible lorsqu’elle existe, et recevoir de l’employeur une réponse écrite motivée, qui prend en compte les besoins de l’employeur et du travailleur. Les États membres devraient avoir la possibilité de limiter la fréquence de telles demandes. (…)</w:t>
      </w:r>
    </w:p>
  </w:footnote>
  <w:footnote w:id="3">
    <w:p w14:paraId="7B5CEC64" w14:textId="01494C09" w:rsidR="00855596" w:rsidRPr="00855596" w:rsidRDefault="00855596">
      <w:pPr>
        <w:pStyle w:val="FootnoteText"/>
        <w:rPr>
          <w:lang w:val="fr-BE"/>
        </w:rPr>
      </w:pPr>
      <w:r>
        <w:rPr>
          <w:rStyle w:val="FootnoteReference"/>
        </w:rPr>
        <w:footnoteRef/>
      </w:r>
      <w:r w:rsidRPr="00855596">
        <w:rPr>
          <w:lang w:val="fr-BE"/>
        </w:rPr>
        <w:t xml:space="preserve"> </w:t>
      </w:r>
      <w:r w:rsidR="0068293C">
        <w:rPr>
          <w:lang w:val="fr-BE"/>
        </w:rPr>
        <w:t>P</w:t>
      </w:r>
      <w:r w:rsidR="004E0327">
        <w:rPr>
          <w:lang w:val="fr-BE"/>
        </w:rPr>
        <w:t>rojet de loi</w:t>
      </w:r>
      <w:r w:rsidR="00F42706">
        <w:rPr>
          <w:lang w:val="fr-BE"/>
        </w:rPr>
        <w:t xml:space="preserve"> </w:t>
      </w:r>
      <w:r w:rsidR="00000000">
        <w:fldChar w:fldCharType="begin"/>
      </w:r>
      <w:r w:rsidR="00000000" w:rsidRPr="00E761EB">
        <w:rPr>
          <w:lang w:val="fr-BE"/>
        </w:rPr>
        <w:instrText xml:space="preserve"> HYPERLINK "https://www.lachambre.be/FLWB/PDF/55/2811/55K2811001.pdf" </w:instrText>
      </w:r>
      <w:r w:rsidR="00000000">
        <w:fldChar w:fldCharType="separate"/>
      </w:r>
      <w:r w:rsidR="00F42706" w:rsidRPr="00F42706">
        <w:rPr>
          <w:rStyle w:val="Hyperlink"/>
          <w:lang w:val="fr-BE"/>
        </w:rPr>
        <w:t>n°2811/001</w:t>
      </w:r>
      <w:r w:rsidR="00000000">
        <w:rPr>
          <w:rStyle w:val="Hyperlink"/>
          <w:lang w:val="fr-BE"/>
        </w:rPr>
        <w:fldChar w:fldCharType="end"/>
      </w:r>
    </w:p>
  </w:footnote>
  <w:footnote w:id="4">
    <w:p w14:paraId="5F6C4653" w14:textId="77777777" w:rsidR="007465C2" w:rsidRPr="00040CF0" w:rsidRDefault="007465C2" w:rsidP="007465C2">
      <w:pPr>
        <w:pStyle w:val="FootnoteText"/>
        <w:rPr>
          <w:lang w:val="fr-BE"/>
        </w:rPr>
      </w:pPr>
      <w:r>
        <w:rPr>
          <w:rStyle w:val="FootnoteReference"/>
        </w:rPr>
        <w:footnoteRef/>
      </w:r>
      <w:r w:rsidRPr="00040CF0">
        <w:rPr>
          <w:lang w:val="fr-BE"/>
        </w:rPr>
        <w:t xml:space="preserve"> </w:t>
      </w:r>
      <w:r>
        <w:rPr>
          <w:lang w:val="fr-BE"/>
        </w:rPr>
        <w:t>Le C</w:t>
      </w:r>
      <w:r w:rsidRPr="00040CF0">
        <w:rPr>
          <w:lang w:val="fr-BE"/>
        </w:rPr>
        <w:t>onsidérant 11 de la directive p</w:t>
      </w:r>
      <w:r>
        <w:rPr>
          <w:lang w:val="fr-BE"/>
        </w:rPr>
        <w:t>récise le caractère restrictif de cette exception</w:t>
      </w:r>
      <w:r w:rsidRPr="00040CF0">
        <w:rPr>
          <w:lang w:val="fr-BE"/>
        </w:rPr>
        <w:t xml:space="preserve"> : « </w:t>
      </w:r>
      <w:r w:rsidRPr="00480A4A">
        <w:rPr>
          <w:i/>
          <w:iCs/>
          <w:lang w:val="fr-BE"/>
        </w:rPr>
        <w:t>Le calcul de ces heures devrait inclure tout le temps réellement travaillé pour un employeur, tel que les heures supplémentaires ou les travaux complémentaires à ceux qui sont garantis ou prévus dans le contrat ou la relation de travail. Dès qu’un travailleur franchit ce seuil, les dispositions de la présente directive s’appliquent à lui, indépendamment du nombre d’heures qu’il a travaillées par la suite ou du nombre d’heures de travail prévues dans le contrat de travail.</w:t>
      </w:r>
      <w:r w:rsidRPr="00040CF0">
        <w:rPr>
          <w:lang w:val="fr-BE"/>
        </w:rPr>
        <w:t xml:space="preserve"> »</w:t>
      </w:r>
    </w:p>
  </w:footnote>
  <w:footnote w:id="5">
    <w:p w14:paraId="6611A27D" w14:textId="664E30CD" w:rsidR="00692304" w:rsidRPr="00692304" w:rsidRDefault="00692304">
      <w:pPr>
        <w:pStyle w:val="FootnoteText"/>
        <w:rPr>
          <w:lang w:val="fr-BE"/>
        </w:rPr>
      </w:pPr>
      <w:r>
        <w:rPr>
          <w:rStyle w:val="FootnoteReference"/>
        </w:rPr>
        <w:footnoteRef/>
      </w:r>
      <w:r w:rsidRPr="00692304">
        <w:rPr>
          <w:lang w:val="fr-BE"/>
        </w:rPr>
        <w:t xml:space="preserve"> </w:t>
      </w:r>
      <w:r w:rsidR="00CE0C6E">
        <w:rPr>
          <w:lang w:val="fr-BE"/>
        </w:rPr>
        <w:t xml:space="preserve">A noter cependant que le mécanisme de droit commun </w:t>
      </w:r>
      <w:r w:rsidR="00BE5967">
        <w:rPr>
          <w:lang w:val="fr-BE"/>
        </w:rPr>
        <w:t xml:space="preserve">en matière de charge de la preuve </w:t>
      </w:r>
      <w:r w:rsidR="00CE0C6E">
        <w:rPr>
          <w:lang w:val="fr-BE"/>
        </w:rPr>
        <w:t xml:space="preserve">(art. 870, Code judiciaire) s’applique </w:t>
      </w:r>
      <w:r w:rsidR="00670E01">
        <w:rPr>
          <w:lang w:val="fr-BE"/>
        </w:rPr>
        <w:t>en cas de traitement défavorable découlant du non-renouvellement</w:t>
      </w:r>
      <w:r w:rsidR="00893527">
        <w:rPr>
          <w:lang w:val="fr-BE"/>
        </w:rPr>
        <w:t xml:space="preserve"> d’un contrat à durée déterminée</w:t>
      </w:r>
      <w:r w:rsidR="00CD105C">
        <w:rPr>
          <w:lang w:val="fr-BE"/>
        </w:rPr>
        <w:t xml:space="preserve">. Cette différence est </w:t>
      </w:r>
      <w:r w:rsidR="00893527">
        <w:rPr>
          <w:lang w:val="fr-BE"/>
        </w:rPr>
        <w:t>expliqué</w:t>
      </w:r>
      <w:r w:rsidR="00CD105C">
        <w:rPr>
          <w:lang w:val="fr-BE"/>
        </w:rPr>
        <w:t>e</w:t>
      </w:r>
      <w:r w:rsidR="00893527">
        <w:rPr>
          <w:lang w:val="fr-BE"/>
        </w:rPr>
        <w:t xml:space="preserve"> au point 7.2.2. infra.</w:t>
      </w:r>
    </w:p>
  </w:footnote>
  <w:footnote w:id="6">
    <w:p w14:paraId="12D71F32" w14:textId="77777777" w:rsidR="00B94AC4" w:rsidRPr="004B1F5B" w:rsidRDefault="00B94AC4" w:rsidP="00B94AC4">
      <w:pPr>
        <w:pStyle w:val="FootnoteText"/>
        <w:rPr>
          <w:i/>
          <w:iCs/>
          <w:lang w:val="fr-BE"/>
        </w:rPr>
      </w:pPr>
      <w:r>
        <w:rPr>
          <w:rStyle w:val="FootnoteReference"/>
        </w:rPr>
        <w:footnoteRef/>
      </w:r>
      <w:r w:rsidRPr="00995B22">
        <w:rPr>
          <w:lang w:val="fr-BE"/>
        </w:rPr>
        <w:t xml:space="preserve"> Art. 870, Code Judiciaire </w:t>
      </w:r>
      <w:r>
        <w:rPr>
          <w:lang w:val="fr-BE"/>
        </w:rPr>
        <w:t>(extrait</w:t>
      </w:r>
      <w:r w:rsidRPr="00995B22">
        <w:rPr>
          <w:lang w:val="fr-BE"/>
        </w:rPr>
        <w:t>)</w:t>
      </w:r>
      <w:r>
        <w:rPr>
          <w:lang w:val="fr-BE"/>
        </w:rPr>
        <w:t> :</w:t>
      </w:r>
      <w:r w:rsidRPr="00995B22">
        <w:rPr>
          <w:lang w:val="fr-BE"/>
        </w:rPr>
        <w:t xml:space="preserve"> </w:t>
      </w:r>
      <w:r>
        <w:rPr>
          <w:lang w:val="fr-BE"/>
        </w:rPr>
        <w:t>« …</w:t>
      </w:r>
      <w:r w:rsidRPr="004B1F5B">
        <w:rPr>
          <w:i/>
          <w:iCs/>
          <w:lang w:val="fr-BE"/>
        </w:rPr>
        <w:t>chacune des parties a la charge de prouver les faits qu'elle allègue »</w:t>
      </w:r>
    </w:p>
  </w:footnote>
  <w:footnote w:id="7">
    <w:p w14:paraId="2AF5E93E" w14:textId="685B374F" w:rsidR="00EF6D13" w:rsidRPr="00EF6D13" w:rsidRDefault="00EF6D13">
      <w:pPr>
        <w:pStyle w:val="FootnoteText"/>
        <w:rPr>
          <w:lang w:val="fr-BE"/>
        </w:rPr>
      </w:pPr>
      <w:r>
        <w:rPr>
          <w:rStyle w:val="FootnoteReference"/>
        </w:rPr>
        <w:footnoteRef/>
      </w:r>
      <w:r w:rsidRPr="00EF6D13">
        <w:rPr>
          <w:lang w:val="fr-BE"/>
        </w:rPr>
        <w:t xml:space="preserve"> La CCT n°161 vise également l</w:t>
      </w:r>
      <w:r>
        <w:rPr>
          <w:lang w:val="fr-BE"/>
        </w:rPr>
        <w:t>es « </w:t>
      </w:r>
      <w:r w:rsidR="004041E6">
        <w:rPr>
          <w:lang w:val="fr-BE"/>
        </w:rPr>
        <w:t>mesures préparatoires » du licenciement (cf. 7.3.1)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1A0C" w14:textId="77777777" w:rsidR="009A6BF5" w:rsidRDefault="009A6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E3160A" w:rsidRPr="00CE6548" w14:paraId="5749DACE" w14:textId="77777777" w:rsidTr="0062343E">
      <w:tc>
        <w:tcPr>
          <w:tcW w:w="2500" w:type="pct"/>
          <w:shd w:val="clear" w:color="auto" w:fill="auto"/>
          <w:vAlign w:val="center"/>
        </w:tcPr>
        <w:p w14:paraId="54749941" w14:textId="77777777" w:rsidR="00E3160A" w:rsidRPr="00673EDC" w:rsidRDefault="00E3160A" w:rsidP="0062343E">
          <w:pPr>
            <w:pStyle w:val="NoSpacing"/>
            <w:jc w:val="right"/>
          </w:pPr>
        </w:p>
      </w:tc>
      <w:tc>
        <w:tcPr>
          <w:tcW w:w="2500" w:type="pct"/>
          <w:shd w:val="clear" w:color="auto" w:fill="auto"/>
          <w:vAlign w:val="center"/>
        </w:tcPr>
        <w:p w14:paraId="18282616" w14:textId="77777777" w:rsidR="00E3160A" w:rsidRPr="004E18C4" w:rsidRDefault="00000000" w:rsidP="0062343E">
          <w:pPr>
            <w:pStyle w:val="NoSpacing"/>
            <w:jc w:val="right"/>
            <w:rPr>
              <w:b/>
              <w:color w:val="808080" w:themeColor="background1" w:themeShade="80"/>
              <w:sz w:val="16"/>
              <w:lang w:val="fr-BE"/>
            </w:rPr>
          </w:pPr>
          <w:sdt>
            <w:sdtPr>
              <w:rPr>
                <w:b/>
                <w:color w:val="808080" w:themeColor="background1" w:themeShade="80"/>
                <w:sz w:val="16"/>
                <w:lang w:val="fr-BE"/>
              </w:rPr>
              <w:id w:val="-442774207"/>
              <w:lock w:val="contentLocked"/>
              <w:showingPlcHdr/>
              <w:picture/>
            </w:sdtPr>
            <w:sdtContent>
              <w:r w:rsidR="00E3160A">
                <w:rPr>
                  <w:noProof/>
                </w:rPr>
                <w:drawing>
                  <wp:inline distT="0" distB="0" distL="0" distR="0" wp14:anchorId="475BEF3F" wp14:editId="2CF618A2">
                    <wp:extent cx="2222500" cy="97742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O-FEB_logotype_NL-FR_CMYK.jpg"/>
                            <pic:cNvPicPr/>
                          </pic:nvPicPr>
                          <pic:blipFill>
                            <a:blip r:embed="rId1">
                              <a:extLst>
                                <a:ext uri="{28A0092B-C50C-407E-A947-70E740481C1C}">
                                  <a14:useLocalDpi xmlns:a14="http://schemas.microsoft.com/office/drawing/2010/main" val="0"/>
                                </a:ext>
                              </a:extLst>
                            </a:blip>
                            <a:stretch>
                              <a:fillRect/>
                            </a:stretch>
                          </pic:blipFill>
                          <pic:spPr>
                            <a:xfrm>
                              <a:off x="0" y="0"/>
                              <a:ext cx="2222500" cy="977427"/>
                            </a:xfrm>
                            <a:prstGeom prst="rect">
                              <a:avLst/>
                            </a:prstGeom>
                          </pic:spPr>
                        </pic:pic>
                      </a:graphicData>
                    </a:graphic>
                  </wp:inline>
                </w:drawing>
              </w:r>
            </w:sdtContent>
          </w:sdt>
        </w:p>
      </w:tc>
    </w:tr>
  </w:tbl>
  <w:p w14:paraId="4BFE244E" w14:textId="2599642C" w:rsidR="00234CD3" w:rsidRPr="00B82BD5" w:rsidRDefault="00234CD3" w:rsidP="00B82BD5">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125858" w:rsidRPr="00CE6548" w14:paraId="439DBBA3" w14:textId="77777777" w:rsidTr="00DE1703">
      <w:tc>
        <w:tcPr>
          <w:tcW w:w="2500" w:type="pct"/>
          <w:shd w:val="clear" w:color="auto" w:fill="auto"/>
          <w:vAlign w:val="center"/>
        </w:tcPr>
        <w:p w14:paraId="601D8E4B" w14:textId="20BB4CF8" w:rsidR="0095393C" w:rsidRPr="00673EDC" w:rsidRDefault="0095393C" w:rsidP="00AA6B45">
          <w:pPr>
            <w:pStyle w:val="NoSpacing"/>
            <w:jc w:val="right"/>
          </w:pPr>
        </w:p>
      </w:tc>
      <w:tc>
        <w:tcPr>
          <w:tcW w:w="2500" w:type="pct"/>
          <w:shd w:val="clear" w:color="auto" w:fill="auto"/>
          <w:vAlign w:val="center"/>
        </w:tcPr>
        <w:p w14:paraId="68E8BCBE" w14:textId="25932C4D" w:rsidR="00125858" w:rsidRPr="004E18C4" w:rsidRDefault="00000000" w:rsidP="00AA6B45">
          <w:pPr>
            <w:pStyle w:val="NoSpacing"/>
            <w:jc w:val="right"/>
            <w:rPr>
              <w:b/>
              <w:color w:val="808080" w:themeColor="background1" w:themeShade="80"/>
              <w:sz w:val="16"/>
              <w:lang w:val="fr-BE"/>
            </w:rPr>
          </w:pPr>
          <w:sdt>
            <w:sdtPr>
              <w:rPr>
                <w:b/>
                <w:color w:val="808080" w:themeColor="background1" w:themeShade="80"/>
                <w:sz w:val="16"/>
                <w:lang w:val="fr-BE"/>
              </w:rPr>
              <w:id w:val="-401761315"/>
              <w:lock w:val="sdtContentLocked"/>
              <w:showingPlcHdr/>
              <w:picture/>
            </w:sdtPr>
            <w:sdtContent>
              <w:r w:rsidR="00A41F24">
                <w:rPr>
                  <w:noProof/>
                </w:rPr>
                <w:drawing>
                  <wp:inline distT="0" distB="0" distL="0" distR="0" wp14:anchorId="5B889531" wp14:editId="21D06E71">
                    <wp:extent cx="2222500" cy="97742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O-FEB_logotype_NL-FR_CMYK.jpg"/>
                            <pic:cNvPicPr/>
                          </pic:nvPicPr>
                          <pic:blipFill>
                            <a:blip r:embed="rId1">
                              <a:extLst>
                                <a:ext uri="{28A0092B-C50C-407E-A947-70E740481C1C}">
                                  <a14:useLocalDpi xmlns:a14="http://schemas.microsoft.com/office/drawing/2010/main" val="0"/>
                                </a:ext>
                              </a:extLst>
                            </a:blip>
                            <a:stretch>
                              <a:fillRect/>
                            </a:stretch>
                          </pic:blipFill>
                          <pic:spPr>
                            <a:xfrm>
                              <a:off x="0" y="0"/>
                              <a:ext cx="2222500" cy="977427"/>
                            </a:xfrm>
                            <a:prstGeom prst="rect">
                              <a:avLst/>
                            </a:prstGeom>
                          </pic:spPr>
                        </pic:pic>
                      </a:graphicData>
                    </a:graphic>
                  </wp:inline>
                </w:drawing>
              </w:r>
            </w:sdtContent>
          </w:sdt>
        </w:p>
      </w:tc>
    </w:tr>
  </w:tbl>
  <w:p w14:paraId="6A100BA5" w14:textId="5EB705A5" w:rsidR="0032595F" w:rsidRPr="00B74F13" w:rsidRDefault="0032595F" w:rsidP="00AA6B45">
    <w:pPr>
      <w:pStyle w:val="No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8206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E7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566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9438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849D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C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50D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7EA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64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CA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82A"/>
    <w:multiLevelType w:val="hybridMultilevel"/>
    <w:tmpl w:val="8EB8975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59B3489"/>
    <w:multiLevelType w:val="hybridMultilevel"/>
    <w:tmpl w:val="0322A21C"/>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B3471B"/>
    <w:multiLevelType w:val="hybridMultilevel"/>
    <w:tmpl w:val="7CEA7DEC"/>
    <w:lvl w:ilvl="0" w:tplc="5462B1BE">
      <w:start w:val="1"/>
      <w:numFmt w:val="bullet"/>
      <w:lvlText w:val=""/>
      <w:lvlJc w:val="left"/>
      <w:pPr>
        <w:ind w:left="360" w:hanging="360"/>
      </w:pPr>
      <w:rPr>
        <w:rFonts w:ascii="Wingdings" w:hAnsi="Wingdings" w:hint="default"/>
        <w:sz w:val="40"/>
        <w:szCs w:val="40"/>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C9E2C5E"/>
    <w:multiLevelType w:val="hybridMultilevel"/>
    <w:tmpl w:val="945AD4F8"/>
    <w:lvl w:ilvl="0" w:tplc="BC06BB22">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2F166E9"/>
    <w:multiLevelType w:val="hybridMultilevel"/>
    <w:tmpl w:val="A91AC7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A11449"/>
    <w:multiLevelType w:val="hybridMultilevel"/>
    <w:tmpl w:val="0A1299AE"/>
    <w:lvl w:ilvl="0" w:tplc="07B8639E">
      <w:start w:val="2"/>
      <w:numFmt w:val="bullet"/>
      <w:lvlText w:val="-"/>
      <w:lvlJc w:val="left"/>
      <w:pPr>
        <w:ind w:left="720" w:hanging="360"/>
      </w:pPr>
      <w:rPr>
        <w:rFonts w:ascii="Trebuchet MS" w:eastAsiaTheme="minorHAnsi" w:hAnsi="Trebuchet M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4780CE4"/>
    <w:multiLevelType w:val="multilevel"/>
    <w:tmpl w:val="84AE65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97422593">
    <w:abstractNumId w:val="9"/>
  </w:num>
  <w:num w:numId="2" w16cid:durableId="48771294">
    <w:abstractNumId w:val="7"/>
  </w:num>
  <w:num w:numId="3" w16cid:durableId="1410691027">
    <w:abstractNumId w:val="6"/>
  </w:num>
  <w:num w:numId="4" w16cid:durableId="1985163495">
    <w:abstractNumId w:val="5"/>
  </w:num>
  <w:num w:numId="5" w16cid:durableId="535771340">
    <w:abstractNumId w:val="4"/>
  </w:num>
  <w:num w:numId="6" w16cid:durableId="674843835">
    <w:abstractNumId w:val="8"/>
  </w:num>
  <w:num w:numId="7" w16cid:durableId="323357043">
    <w:abstractNumId w:val="3"/>
  </w:num>
  <w:num w:numId="8" w16cid:durableId="945619957">
    <w:abstractNumId w:val="2"/>
  </w:num>
  <w:num w:numId="9" w16cid:durableId="1907719821">
    <w:abstractNumId w:val="1"/>
  </w:num>
  <w:num w:numId="10" w16cid:durableId="898785699">
    <w:abstractNumId w:val="0"/>
  </w:num>
  <w:num w:numId="11" w16cid:durableId="126775910">
    <w:abstractNumId w:val="16"/>
  </w:num>
  <w:num w:numId="12" w16cid:durableId="2116098618">
    <w:abstractNumId w:val="16"/>
  </w:num>
  <w:num w:numId="13" w16cid:durableId="743718796">
    <w:abstractNumId w:val="13"/>
  </w:num>
  <w:num w:numId="14" w16cid:durableId="1263345152">
    <w:abstractNumId w:val="11"/>
  </w:num>
  <w:num w:numId="15" w16cid:durableId="954825906">
    <w:abstractNumId w:val="16"/>
  </w:num>
  <w:num w:numId="16" w16cid:durableId="255134050">
    <w:abstractNumId w:val="10"/>
  </w:num>
  <w:num w:numId="17" w16cid:durableId="966082562">
    <w:abstractNumId w:val="14"/>
  </w:num>
  <w:num w:numId="18" w16cid:durableId="1399284261">
    <w:abstractNumId w:val="15"/>
  </w:num>
  <w:num w:numId="19" w16cid:durableId="1064377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D3"/>
    <w:rsid w:val="00011D68"/>
    <w:rsid w:val="00013D42"/>
    <w:rsid w:val="000265A6"/>
    <w:rsid w:val="00026F3A"/>
    <w:rsid w:val="00033714"/>
    <w:rsid w:val="00040CF0"/>
    <w:rsid w:val="000461B7"/>
    <w:rsid w:val="0005479F"/>
    <w:rsid w:val="000618BA"/>
    <w:rsid w:val="00061D68"/>
    <w:rsid w:val="000624A5"/>
    <w:rsid w:val="00064E94"/>
    <w:rsid w:val="00066DBA"/>
    <w:rsid w:val="00070594"/>
    <w:rsid w:val="0007210E"/>
    <w:rsid w:val="00074017"/>
    <w:rsid w:val="0007423D"/>
    <w:rsid w:val="000769F8"/>
    <w:rsid w:val="000803AC"/>
    <w:rsid w:val="00082335"/>
    <w:rsid w:val="00084C9B"/>
    <w:rsid w:val="00086B11"/>
    <w:rsid w:val="0009198D"/>
    <w:rsid w:val="000A0F03"/>
    <w:rsid w:val="000A139B"/>
    <w:rsid w:val="000A1A83"/>
    <w:rsid w:val="000A7014"/>
    <w:rsid w:val="000B413F"/>
    <w:rsid w:val="000B5BC3"/>
    <w:rsid w:val="000B63F7"/>
    <w:rsid w:val="000C08D4"/>
    <w:rsid w:val="000C19ED"/>
    <w:rsid w:val="000C2972"/>
    <w:rsid w:val="000C6A79"/>
    <w:rsid w:val="000D0FFD"/>
    <w:rsid w:val="000D295F"/>
    <w:rsid w:val="000D47B3"/>
    <w:rsid w:val="000D5BC0"/>
    <w:rsid w:val="000D6070"/>
    <w:rsid w:val="000E012B"/>
    <w:rsid w:val="000E3827"/>
    <w:rsid w:val="000E524C"/>
    <w:rsid w:val="000E5547"/>
    <w:rsid w:val="000F1D4C"/>
    <w:rsid w:val="000F28D5"/>
    <w:rsid w:val="000F2B73"/>
    <w:rsid w:val="000F300D"/>
    <w:rsid w:val="000F4544"/>
    <w:rsid w:val="000F630A"/>
    <w:rsid w:val="00101488"/>
    <w:rsid w:val="001025CA"/>
    <w:rsid w:val="0010421B"/>
    <w:rsid w:val="001065A4"/>
    <w:rsid w:val="00107455"/>
    <w:rsid w:val="001144B4"/>
    <w:rsid w:val="00116653"/>
    <w:rsid w:val="00116ECB"/>
    <w:rsid w:val="00120B5E"/>
    <w:rsid w:val="00121A50"/>
    <w:rsid w:val="00121BAC"/>
    <w:rsid w:val="0012205F"/>
    <w:rsid w:val="00124BF7"/>
    <w:rsid w:val="00125858"/>
    <w:rsid w:val="00126402"/>
    <w:rsid w:val="0013193F"/>
    <w:rsid w:val="00132A71"/>
    <w:rsid w:val="00140CC1"/>
    <w:rsid w:val="001426D5"/>
    <w:rsid w:val="00143F3A"/>
    <w:rsid w:val="00145553"/>
    <w:rsid w:val="001540CF"/>
    <w:rsid w:val="00154682"/>
    <w:rsid w:val="00155434"/>
    <w:rsid w:val="00156029"/>
    <w:rsid w:val="00165F33"/>
    <w:rsid w:val="00170F04"/>
    <w:rsid w:val="00172D47"/>
    <w:rsid w:val="00174CCA"/>
    <w:rsid w:val="00176BE3"/>
    <w:rsid w:val="0018548E"/>
    <w:rsid w:val="00194EE7"/>
    <w:rsid w:val="001A38E8"/>
    <w:rsid w:val="001A516C"/>
    <w:rsid w:val="001A7860"/>
    <w:rsid w:val="001A7E4B"/>
    <w:rsid w:val="001B1EB8"/>
    <w:rsid w:val="001B21E4"/>
    <w:rsid w:val="001B32BD"/>
    <w:rsid w:val="001C0005"/>
    <w:rsid w:val="001C1683"/>
    <w:rsid w:val="001C4533"/>
    <w:rsid w:val="001C496B"/>
    <w:rsid w:val="001D0EE6"/>
    <w:rsid w:val="001D7BC4"/>
    <w:rsid w:val="001E4B96"/>
    <w:rsid w:val="001E6609"/>
    <w:rsid w:val="001E67C1"/>
    <w:rsid w:val="001E6867"/>
    <w:rsid w:val="001E7663"/>
    <w:rsid w:val="001F4816"/>
    <w:rsid w:val="001F6E0A"/>
    <w:rsid w:val="001F7EB0"/>
    <w:rsid w:val="002018FF"/>
    <w:rsid w:val="0020439A"/>
    <w:rsid w:val="0021787D"/>
    <w:rsid w:val="00217FD0"/>
    <w:rsid w:val="002210AC"/>
    <w:rsid w:val="00223768"/>
    <w:rsid w:val="00227C5B"/>
    <w:rsid w:val="00230075"/>
    <w:rsid w:val="00234CD3"/>
    <w:rsid w:val="00237861"/>
    <w:rsid w:val="0024248A"/>
    <w:rsid w:val="0024277A"/>
    <w:rsid w:val="002452DD"/>
    <w:rsid w:val="00245B59"/>
    <w:rsid w:val="002533AE"/>
    <w:rsid w:val="002543B4"/>
    <w:rsid w:val="00256501"/>
    <w:rsid w:val="00267754"/>
    <w:rsid w:val="002677EE"/>
    <w:rsid w:val="002729FB"/>
    <w:rsid w:val="002770E8"/>
    <w:rsid w:val="00283BE9"/>
    <w:rsid w:val="00284570"/>
    <w:rsid w:val="00285F11"/>
    <w:rsid w:val="002936BD"/>
    <w:rsid w:val="00294CD5"/>
    <w:rsid w:val="002A0C30"/>
    <w:rsid w:val="002B2F2D"/>
    <w:rsid w:val="002C048B"/>
    <w:rsid w:val="002C0A62"/>
    <w:rsid w:val="002C3FB9"/>
    <w:rsid w:val="002C4644"/>
    <w:rsid w:val="002C6052"/>
    <w:rsid w:val="002D2BAC"/>
    <w:rsid w:val="002D4A71"/>
    <w:rsid w:val="002E247D"/>
    <w:rsid w:val="002F032F"/>
    <w:rsid w:val="002F1199"/>
    <w:rsid w:val="002F6C19"/>
    <w:rsid w:val="0030216B"/>
    <w:rsid w:val="00302EA8"/>
    <w:rsid w:val="00304667"/>
    <w:rsid w:val="003055B7"/>
    <w:rsid w:val="003062CC"/>
    <w:rsid w:val="00307D78"/>
    <w:rsid w:val="00312A08"/>
    <w:rsid w:val="00312F7C"/>
    <w:rsid w:val="003220E3"/>
    <w:rsid w:val="003223C3"/>
    <w:rsid w:val="00324092"/>
    <w:rsid w:val="0032595F"/>
    <w:rsid w:val="00326DF1"/>
    <w:rsid w:val="00330A07"/>
    <w:rsid w:val="00330B8F"/>
    <w:rsid w:val="003332B6"/>
    <w:rsid w:val="0033556B"/>
    <w:rsid w:val="0033569E"/>
    <w:rsid w:val="003416A0"/>
    <w:rsid w:val="00342E97"/>
    <w:rsid w:val="00342F43"/>
    <w:rsid w:val="00343438"/>
    <w:rsid w:val="0034546D"/>
    <w:rsid w:val="00347E53"/>
    <w:rsid w:val="00350A84"/>
    <w:rsid w:val="00350FF7"/>
    <w:rsid w:val="0035137C"/>
    <w:rsid w:val="003517E7"/>
    <w:rsid w:val="00353752"/>
    <w:rsid w:val="00354F9B"/>
    <w:rsid w:val="00355839"/>
    <w:rsid w:val="0036231E"/>
    <w:rsid w:val="00365F0D"/>
    <w:rsid w:val="003668CB"/>
    <w:rsid w:val="00370D12"/>
    <w:rsid w:val="00371675"/>
    <w:rsid w:val="0037794D"/>
    <w:rsid w:val="003840A0"/>
    <w:rsid w:val="00390BA4"/>
    <w:rsid w:val="00391377"/>
    <w:rsid w:val="00391A1A"/>
    <w:rsid w:val="00394811"/>
    <w:rsid w:val="00395568"/>
    <w:rsid w:val="003979D7"/>
    <w:rsid w:val="003A5B6D"/>
    <w:rsid w:val="003A7D52"/>
    <w:rsid w:val="003B2370"/>
    <w:rsid w:val="003B336B"/>
    <w:rsid w:val="003C1903"/>
    <w:rsid w:val="003C793E"/>
    <w:rsid w:val="003D0A27"/>
    <w:rsid w:val="003D2610"/>
    <w:rsid w:val="003E2147"/>
    <w:rsid w:val="003E2648"/>
    <w:rsid w:val="003E7C5C"/>
    <w:rsid w:val="003F23AC"/>
    <w:rsid w:val="003F59E5"/>
    <w:rsid w:val="003F6B64"/>
    <w:rsid w:val="00401165"/>
    <w:rsid w:val="0040174C"/>
    <w:rsid w:val="004041E6"/>
    <w:rsid w:val="00413105"/>
    <w:rsid w:val="0041528C"/>
    <w:rsid w:val="00431E92"/>
    <w:rsid w:val="00431F08"/>
    <w:rsid w:val="00435F49"/>
    <w:rsid w:val="004411EE"/>
    <w:rsid w:val="00442214"/>
    <w:rsid w:val="004454F9"/>
    <w:rsid w:val="00445C28"/>
    <w:rsid w:val="00446111"/>
    <w:rsid w:val="004556D6"/>
    <w:rsid w:val="00456758"/>
    <w:rsid w:val="00460759"/>
    <w:rsid w:val="00463FFF"/>
    <w:rsid w:val="0046628F"/>
    <w:rsid w:val="00466B40"/>
    <w:rsid w:val="00473A64"/>
    <w:rsid w:val="00473CDB"/>
    <w:rsid w:val="00474421"/>
    <w:rsid w:val="00476EC2"/>
    <w:rsid w:val="00477A85"/>
    <w:rsid w:val="004805B3"/>
    <w:rsid w:val="00480A4A"/>
    <w:rsid w:val="00487B98"/>
    <w:rsid w:val="00491C8E"/>
    <w:rsid w:val="00492DD7"/>
    <w:rsid w:val="004932C3"/>
    <w:rsid w:val="004967E3"/>
    <w:rsid w:val="00497211"/>
    <w:rsid w:val="004A0141"/>
    <w:rsid w:val="004A2A48"/>
    <w:rsid w:val="004A3FD1"/>
    <w:rsid w:val="004A5185"/>
    <w:rsid w:val="004B1F5B"/>
    <w:rsid w:val="004B2FEE"/>
    <w:rsid w:val="004B3AA2"/>
    <w:rsid w:val="004C1FC0"/>
    <w:rsid w:val="004C3BDD"/>
    <w:rsid w:val="004C4D2D"/>
    <w:rsid w:val="004C5275"/>
    <w:rsid w:val="004C7E43"/>
    <w:rsid w:val="004D6947"/>
    <w:rsid w:val="004E0327"/>
    <w:rsid w:val="004E0C77"/>
    <w:rsid w:val="004E1626"/>
    <w:rsid w:val="004E18C4"/>
    <w:rsid w:val="004E226E"/>
    <w:rsid w:val="004E73B9"/>
    <w:rsid w:val="004F29DB"/>
    <w:rsid w:val="00503BC3"/>
    <w:rsid w:val="005070C1"/>
    <w:rsid w:val="00516862"/>
    <w:rsid w:val="00520F0B"/>
    <w:rsid w:val="00522132"/>
    <w:rsid w:val="00530581"/>
    <w:rsid w:val="00531941"/>
    <w:rsid w:val="0053475E"/>
    <w:rsid w:val="00535960"/>
    <w:rsid w:val="00541E8D"/>
    <w:rsid w:val="00545846"/>
    <w:rsid w:val="00547687"/>
    <w:rsid w:val="00553795"/>
    <w:rsid w:val="00554B72"/>
    <w:rsid w:val="00556E27"/>
    <w:rsid w:val="00556EDB"/>
    <w:rsid w:val="00557671"/>
    <w:rsid w:val="00563FFF"/>
    <w:rsid w:val="005717C1"/>
    <w:rsid w:val="005916C4"/>
    <w:rsid w:val="0059206F"/>
    <w:rsid w:val="0059657D"/>
    <w:rsid w:val="005A2FB5"/>
    <w:rsid w:val="005A63F8"/>
    <w:rsid w:val="005B3A58"/>
    <w:rsid w:val="005C729A"/>
    <w:rsid w:val="005D1E26"/>
    <w:rsid w:val="005D3A9C"/>
    <w:rsid w:val="005D52A1"/>
    <w:rsid w:val="005D7115"/>
    <w:rsid w:val="005F1091"/>
    <w:rsid w:val="005F258C"/>
    <w:rsid w:val="005F5462"/>
    <w:rsid w:val="005F5DFB"/>
    <w:rsid w:val="0060012B"/>
    <w:rsid w:val="00601B79"/>
    <w:rsid w:val="006056B6"/>
    <w:rsid w:val="00606C95"/>
    <w:rsid w:val="00607718"/>
    <w:rsid w:val="00611926"/>
    <w:rsid w:val="00611FDB"/>
    <w:rsid w:val="00614831"/>
    <w:rsid w:val="006152D4"/>
    <w:rsid w:val="0061590B"/>
    <w:rsid w:val="006159D4"/>
    <w:rsid w:val="00616F08"/>
    <w:rsid w:val="00621360"/>
    <w:rsid w:val="00626C85"/>
    <w:rsid w:val="006303A2"/>
    <w:rsid w:val="00631E47"/>
    <w:rsid w:val="006336B7"/>
    <w:rsid w:val="0063427E"/>
    <w:rsid w:val="00647CAF"/>
    <w:rsid w:val="00653D26"/>
    <w:rsid w:val="006558E9"/>
    <w:rsid w:val="0065650D"/>
    <w:rsid w:val="00660584"/>
    <w:rsid w:val="0066155A"/>
    <w:rsid w:val="00664956"/>
    <w:rsid w:val="006679E9"/>
    <w:rsid w:val="00670E01"/>
    <w:rsid w:val="00671D34"/>
    <w:rsid w:val="00671E8B"/>
    <w:rsid w:val="00673EDC"/>
    <w:rsid w:val="00677123"/>
    <w:rsid w:val="0068293C"/>
    <w:rsid w:val="006833EB"/>
    <w:rsid w:val="00685418"/>
    <w:rsid w:val="00690C24"/>
    <w:rsid w:val="00692304"/>
    <w:rsid w:val="00692B46"/>
    <w:rsid w:val="00693705"/>
    <w:rsid w:val="006947B1"/>
    <w:rsid w:val="00695B98"/>
    <w:rsid w:val="006A224A"/>
    <w:rsid w:val="006A2E65"/>
    <w:rsid w:val="006A5EF3"/>
    <w:rsid w:val="006B070C"/>
    <w:rsid w:val="006B313B"/>
    <w:rsid w:val="006B59D9"/>
    <w:rsid w:val="006C20EC"/>
    <w:rsid w:val="006C2418"/>
    <w:rsid w:val="006C4A78"/>
    <w:rsid w:val="006C77F2"/>
    <w:rsid w:val="006D04CA"/>
    <w:rsid w:val="006D530A"/>
    <w:rsid w:val="006D560D"/>
    <w:rsid w:val="006D7EE8"/>
    <w:rsid w:val="006E144F"/>
    <w:rsid w:val="006E275A"/>
    <w:rsid w:val="006E2B6B"/>
    <w:rsid w:val="006E3B4F"/>
    <w:rsid w:val="006E502B"/>
    <w:rsid w:val="006E53D0"/>
    <w:rsid w:val="006E74DA"/>
    <w:rsid w:val="006F0556"/>
    <w:rsid w:val="006F0906"/>
    <w:rsid w:val="006F1363"/>
    <w:rsid w:val="006F17EE"/>
    <w:rsid w:val="006F2A3B"/>
    <w:rsid w:val="006F61BD"/>
    <w:rsid w:val="006F6975"/>
    <w:rsid w:val="00702B1F"/>
    <w:rsid w:val="00710A92"/>
    <w:rsid w:val="00711CD9"/>
    <w:rsid w:val="0071323C"/>
    <w:rsid w:val="00721A61"/>
    <w:rsid w:val="00724446"/>
    <w:rsid w:val="00725BD5"/>
    <w:rsid w:val="00731A15"/>
    <w:rsid w:val="007465C2"/>
    <w:rsid w:val="007474A6"/>
    <w:rsid w:val="00747F08"/>
    <w:rsid w:val="00755ADA"/>
    <w:rsid w:val="00755FCD"/>
    <w:rsid w:val="0076061C"/>
    <w:rsid w:val="00760FAD"/>
    <w:rsid w:val="00765706"/>
    <w:rsid w:val="00765A4E"/>
    <w:rsid w:val="00767BAE"/>
    <w:rsid w:val="0077051B"/>
    <w:rsid w:val="00772E03"/>
    <w:rsid w:val="0077448D"/>
    <w:rsid w:val="00776042"/>
    <w:rsid w:val="00781FE1"/>
    <w:rsid w:val="007825E3"/>
    <w:rsid w:val="0078381A"/>
    <w:rsid w:val="00784BF1"/>
    <w:rsid w:val="007857BC"/>
    <w:rsid w:val="007A03D5"/>
    <w:rsid w:val="007A5127"/>
    <w:rsid w:val="007B0F38"/>
    <w:rsid w:val="007B515B"/>
    <w:rsid w:val="007C1C25"/>
    <w:rsid w:val="007C395D"/>
    <w:rsid w:val="007C7A84"/>
    <w:rsid w:val="007C7EB8"/>
    <w:rsid w:val="007D0A8C"/>
    <w:rsid w:val="007D27B6"/>
    <w:rsid w:val="007D2F2F"/>
    <w:rsid w:val="007D4D58"/>
    <w:rsid w:val="007D7D1B"/>
    <w:rsid w:val="007D7FD3"/>
    <w:rsid w:val="007E042C"/>
    <w:rsid w:val="007E1057"/>
    <w:rsid w:val="007E16B1"/>
    <w:rsid w:val="007E25CD"/>
    <w:rsid w:val="007E4415"/>
    <w:rsid w:val="007E5F29"/>
    <w:rsid w:val="007E6BDF"/>
    <w:rsid w:val="007E6DAA"/>
    <w:rsid w:val="007F4F49"/>
    <w:rsid w:val="007F671B"/>
    <w:rsid w:val="007F7618"/>
    <w:rsid w:val="0080076E"/>
    <w:rsid w:val="008023FC"/>
    <w:rsid w:val="00802D34"/>
    <w:rsid w:val="00807111"/>
    <w:rsid w:val="00807C7A"/>
    <w:rsid w:val="00810F5A"/>
    <w:rsid w:val="00813249"/>
    <w:rsid w:val="008172C5"/>
    <w:rsid w:val="00820B7C"/>
    <w:rsid w:val="00821CE5"/>
    <w:rsid w:val="00823F83"/>
    <w:rsid w:val="00824199"/>
    <w:rsid w:val="00830395"/>
    <w:rsid w:val="00834009"/>
    <w:rsid w:val="0084043F"/>
    <w:rsid w:val="00840EFF"/>
    <w:rsid w:val="00843466"/>
    <w:rsid w:val="00846B60"/>
    <w:rsid w:val="00847907"/>
    <w:rsid w:val="0085162D"/>
    <w:rsid w:val="00852D2E"/>
    <w:rsid w:val="00855596"/>
    <w:rsid w:val="0085574C"/>
    <w:rsid w:val="00855B70"/>
    <w:rsid w:val="00867DB3"/>
    <w:rsid w:val="0087016E"/>
    <w:rsid w:val="00873670"/>
    <w:rsid w:val="00877AA9"/>
    <w:rsid w:val="00877B13"/>
    <w:rsid w:val="00877D04"/>
    <w:rsid w:val="00882488"/>
    <w:rsid w:val="008843FE"/>
    <w:rsid w:val="00884701"/>
    <w:rsid w:val="0088734C"/>
    <w:rsid w:val="008901C7"/>
    <w:rsid w:val="008907A2"/>
    <w:rsid w:val="00890C84"/>
    <w:rsid w:val="00891851"/>
    <w:rsid w:val="00893527"/>
    <w:rsid w:val="008955D9"/>
    <w:rsid w:val="00897FDE"/>
    <w:rsid w:val="008A2361"/>
    <w:rsid w:val="008A3621"/>
    <w:rsid w:val="008A569D"/>
    <w:rsid w:val="008A6BD2"/>
    <w:rsid w:val="008B6AC5"/>
    <w:rsid w:val="008B70BD"/>
    <w:rsid w:val="008C0C40"/>
    <w:rsid w:val="008C125B"/>
    <w:rsid w:val="008C78B7"/>
    <w:rsid w:val="008D3E56"/>
    <w:rsid w:val="008D5438"/>
    <w:rsid w:val="008D64B5"/>
    <w:rsid w:val="008E03F0"/>
    <w:rsid w:val="008E077D"/>
    <w:rsid w:val="008E603A"/>
    <w:rsid w:val="008F477B"/>
    <w:rsid w:val="008F4868"/>
    <w:rsid w:val="00906FD3"/>
    <w:rsid w:val="00910D39"/>
    <w:rsid w:val="0091274A"/>
    <w:rsid w:val="00913D72"/>
    <w:rsid w:val="00917E9E"/>
    <w:rsid w:val="0093211D"/>
    <w:rsid w:val="009337B7"/>
    <w:rsid w:val="00934824"/>
    <w:rsid w:val="00943921"/>
    <w:rsid w:val="009440E7"/>
    <w:rsid w:val="0094423F"/>
    <w:rsid w:val="0095320D"/>
    <w:rsid w:val="0095393C"/>
    <w:rsid w:val="009542BC"/>
    <w:rsid w:val="00954F7D"/>
    <w:rsid w:val="0095556D"/>
    <w:rsid w:val="00957148"/>
    <w:rsid w:val="0096523C"/>
    <w:rsid w:val="00966168"/>
    <w:rsid w:val="009705C2"/>
    <w:rsid w:val="0097130F"/>
    <w:rsid w:val="00981FC7"/>
    <w:rsid w:val="00982703"/>
    <w:rsid w:val="00982898"/>
    <w:rsid w:val="009848EC"/>
    <w:rsid w:val="00990EA5"/>
    <w:rsid w:val="009917CC"/>
    <w:rsid w:val="00991D05"/>
    <w:rsid w:val="00995B22"/>
    <w:rsid w:val="009A018B"/>
    <w:rsid w:val="009A49F0"/>
    <w:rsid w:val="009A6B72"/>
    <w:rsid w:val="009A6BF5"/>
    <w:rsid w:val="009A720B"/>
    <w:rsid w:val="009A7B2F"/>
    <w:rsid w:val="009B1453"/>
    <w:rsid w:val="009B2174"/>
    <w:rsid w:val="009B3E8C"/>
    <w:rsid w:val="009B79D0"/>
    <w:rsid w:val="009C1296"/>
    <w:rsid w:val="009D155A"/>
    <w:rsid w:val="009D2DF0"/>
    <w:rsid w:val="009E0BBB"/>
    <w:rsid w:val="009F53B0"/>
    <w:rsid w:val="009F5A4A"/>
    <w:rsid w:val="00A0084F"/>
    <w:rsid w:val="00A01670"/>
    <w:rsid w:val="00A02CBC"/>
    <w:rsid w:val="00A0570C"/>
    <w:rsid w:val="00A11020"/>
    <w:rsid w:val="00A15C10"/>
    <w:rsid w:val="00A21136"/>
    <w:rsid w:val="00A23AB6"/>
    <w:rsid w:val="00A33C00"/>
    <w:rsid w:val="00A35E48"/>
    <w:rsid w:val="00A36235"/>
    <w:rsid w:val="00A3754B"/>
    <w:rsid w:val="00A40060"/>
    <w:rsid w:val="00A40759"/>
    <w:rsid w:val="00A41F24"/>
    <w:rsid w:val="00A43837"/>
    <w:rsid w:val="00A458FE"/>
    <w:rsid w:val="00A47335"/>
    <w:rsid w:val="00A47959"/>
    <w:rsid w:val="00A515D8"/>
    <w:rsid w:val="00A52188"/>
    <w:rsid w:val="00A54A3A"/>
    <w:rsid w:val="00A628BD"/>
    <w:rsid w:val="00A653A6"/>
    <w:rsid w:val="00A71564"/>
    <w:rsid w:val="00A737F9"/>
    <w:rsid w:val="00A73800"/>
    <w:rsid w:val="00A7558F"/>
    <w:rsid w:val="00A75FF9"/>
    <w:rsid w:val="00A814F3"/>
    <w:rsid w:val="00A86D00"/>
    <w:rsid w:val="00A86DF1"/>
    <w:rsid w:val="00A902BD"/>
    <w:rsid w:val="00A945E3"/>
    <w:rsid w:val="00AA6078"/>
    <w:rsid w:val="00AA6B45"/>
    <w:rsid w:val="00AB0720"/>
    <w:rsid w:val="00AB4AC0"/>
    <w:rsid w:val="00AC21A0"/>
    <w:rsid w:val="00AC2352"/>
    <w:rsid w:val="00AC5849"/>
    <w:rsid w:val="00AC7759"/>
    <w:rsid w:val="00AC7774"/>
    <w:rsid w:val="00AD30F0"/>
    <w:rsid w:val="00AD4163"/>
    <w:rsid w:val="00AD7878"/>
    <w:rsid w:val="00AE51F0"/>
    <w:rsid w:val="00AE68E3"/>
    <w:rsid w:val="00AE74F4"/>
    <w:rsid w:val="00AF090B"/>
    <w:rsid w:val="00AF0EB2"/>
    <w:rsid w:val="00AF4E43"/>
    <w:rsid w:val="00B02B70"/>
    <w:rsid w:val="00B03147"/>
    <w:rsid w:val="00B0328A"/>
    <w:rsid w:val="00B04C67"/>
    <w:rsid w:val="00B11D3E"/>
    <w:rsid w:val="00B12694"/>
    <w:rsid w:val="00B13892"/>
    <w:rsid w:val="00B215EA"/>
    <w:rsid w:val="00B262D4"/>
    <w:rsid w:val="00B3067B"/>
    <w:rsid w:val="00B32286"/>
    <w:rsid w:val="00B32A0D"/>
    <w:rsid w:val="00B33304"/>
    <w:rsid w:val="00B346AF"/>
    <w:rsid w:val="00B346FF"/>
    <w:rsid w:val="00B44BDE"/>
    <w:rsid w:val="00B5185C"/>
    <w:rsid w:val="00B544CD"/>
    <w:rsid w:val="00B57EFF"/>
    <w:rsid w:val="00B615F1"/>
    <w:rsid w:val="00B66570"/>
    <w:rsid w:val="00B67E51"/>
    <w:rsid w:val="00B70768"/>
    <w:rsid w:val="00B712DF"/>
    <w:rsid w:val="00B7193A"/>
    <w:rsid w:val="00B71E81"/>
    <w:rsid w:val="00B726F8"/>
    <w:rsid w:val="00B74F13"/>
    <w:rsid w:val="00B76A7F"/>
    <w:rsid w:val="00B80671"/>
    <w:rsid w:val="00B8268A"/>
    <w:rsid w:val="00B82BD5"/>
    <w:rsid w:val="00B84675"/>
    <w:rsid w:val="00B84D46"/>
    <w:rsid w:val="00B87644"/>
    <w:rsid w:val="00B901AA"/>
    <w:rsid w:val="00B90D7C"/>
    <w:rsid w:val="00B93CB0"/>
    <w:rsid w:val="00B94AC4"/>
    <w:rsid w:val="00B96625"/>
    <w:rsid w:val="00BA337F"/>
    <w:rsid w:val="00BB11F7"/>
    <w:rsid w:val="00BB75D1"/>
    <w:rsid w:val="00BC55A7"/>
    <w:rsid w:val="00BD03E4"/>
    <w:rsid w:val="00BD16E2"/>
    <w:rsid w:val="00BD30F6"/>
    <w:rsid w:val="00BE0AFA"/>
    <w:rsid w:val="00BE5967"/>
    <w:rsid w:val="00BE6048"/>
    <w:rsid w:val="00BE6CCB"/>
    <w:rsid w:val="00BE7DF9"/>
    <w:rsid w:val="00BF08E2"/>
    <w:rsid w:val="00BF3D50"/>
    <w:rsid w:val="00C008AA"/>
    <w:rsid w:val="00C01F17"/>
    <w:rsid w:val="00C10709"/>
    <w:rsid w:val="00C21944"/>
    <w:rsid w:val="00C221D3"/>
    <w:rsid w:val="00C258C2"/>
    <w:rsid w:val="00C269C4"/>
    <w:rsid w:val="00C32D7A"/>
    <w:rsid w:val="00C3490B"/>
    <w:rsid w:val="00C35019"/>
    <w:rsid w:val="00C37640"/>
    <w:rsid w:val="00C41818"/>
    <w:rsid w:val="00C41B3A"/>
    <w:rsid w:val="00C55F8E"/>
    <w:rsid w:val="00C57DF1"/>
    <w:rsid w:val="00C6286A"/>
    <w:rsid w:val="00C66AEE"/>
    <w:rsid w:val="00C72FAD"/>
    <w:rsid w:val="00C811EC"/>
    <w:rsid w:val="00C83693"/>
    <w:rsid w:val="00C901CF"/>
    <w:rsid w:val="00C911B2"/>
    <w:rsid w:val="00C91666"/>
    <w:rsid w:val="00CA1BA4"/>
    <w:rsid w:val="00CA3F3D"/>
    <w:rsid w:val="00CA5172"/>
    <w:rsid w:val="00CB42EF"/>
    <w:rsid w:val="00CC1875"/>
    <w:rsid w:val="00CC43A5"/>
    <w:rsid w:val="00CD1030"/>
    <w:rsid w:val="00CD105C"/>
    <w:rsid w:val="00CD2EB9"/>
    <w:rsid w:val="00CE0C0D"/>
    <w:rsid w:val="00CE0C6E"/>
    <w:rsid w:val="00CE6548"/>
    <w:rsid w:val="00CF1455"/>
    <w:rsid w:val="00CF4773"/>
    <w:rsid w:val="00CF4A3B"/>
    <w:rsid w:val="00CF74DF"/>
    <w:rsid w:val="00D027AA"/>
    <w:rsid w:val="00D05978"/>
    <w:rsid w:val="00D06312"/>
    <w:rsid w:val="00D12063"/>
    <w:rsid w:val="00D17546"/>
    <w:rsid w:val="00D17761"/>
    <w:rsid w:val="00D20CDF"/>
    <w:rsid w:val="00D20D6A"/>
    <w:rsid w:val="00D22BEC"/>
    <w:rsid w:val="00D2601C"/>
    <w:rsid w:val="00D31658"/>
    <w:rsid w:val="00D32C53"/>
    <w:rsid w:val="00D34208"/>
    <w:rsid w:val="00D359E6"/>
    <w:rsid w:val="00D36496"/>
    <w:rsid w:val="00D36B27"/>
    <w:rsid w:val="00D401B6"/>
    <w:rsid w:val="00D40F2E"/>
    <w:rsid w:val="00D41CDE"/>
    <w:rsid w:val="00D44066"/>
    <w:rsid w:val="00D46EF3"/>
    <w:rsid w:val="00D50460"/>
    <w:rsid w:val="00D5277D"/>
    <w:rsid w:val="00D53B8E"/>
    <w:rsid w:val="00D6101A"/>
    <w:rsid w:val="00D66BB6"/>
    <w:rsid w:val="00D67CE6"/>
    <w:rsid w:val="00D71A70"/>
    <w:rsid w:val="00D7211C"/>
    <w:rsid w:val="00D74E21"/>
    <w:rsid w:val="00D841DA"/>
    <w:rsid w:val="00D849DE"/>
    <w:rsid w:val="00D87821"/>
    <w:rsid w:val="00D93AE7"/>
    <w:rsid w:val="00D95E1E"/>
    <w:rsid w:val="00DA0B0B"/>
    <w:rsid w:val="00DA5F38"/>
    <w:rsid w:val="00DA6815"/>
    <w:rsid w:val="00DA6980"/>
    <w:rsid w:val="00DB5C0D"/>
    <w:rsid w:val="00DC2152"/>
    <w:rsid w:val="00DD20E3"/>
    <w:rsid w:val="00DD2EF5"/>
    <w:rsid w:val="00DD46BC"/>
    <w:rsid w:val="00DD6ACE"/>
    <w:rsid w:val="00DE0194"/>
    <w:rsid w:val="00DE03BC"/>
    <w:rsid w:val="00DE1703"/>
    <w:rsid w:val="00DE370A"/>
    <w:rsid w:val="00DE7BE1"/>
    <w:rsid w:val="00DF1AC5"/>
    <w:rsid w:val="00DF4425"/>
    <w:rsid w:val="00E04EF1"/>
    <w:rsid w:val="00E066F5"/>
    <w:rsid w:val="00E12765"/>
    <w:rsid w:val="00E22DA7"/>
    <w:rsid w:val="00E273CE"/>
    <w:rsid w:val="00E3160A"/>
    <w:rsid w:val="00E32234"/>
    <w:rsid w:val="00E3614E"/>
    <w:rsid w:val="00E37215"/>
    <w:rsid w:val="00E40463"/>
    <w:rsid w:val="00E5329A"/>
    <w:rsid w:val="00E5767D"/>
    <w:rsid w:val="00E57832"/>
    <w:rsid w:val="00E57EAD"/>
    <w:rsid w:val="00E600E7"/>
    <w:rsid w:val="00E644F8"/>
    <w:rsid w:val="00E65DFF"/>
    <w:rsid w:val="00E6635A"/>
    <w:rsid w:val="00E66910"/>
    <w:rsid w:val="00E67502"/>
    <w:rsid w:val="00E70882"/>
    <w:rsid w:val="00E761EB"/>
    <w:rsid w:val="00E76ADE"/>
    <w:rsid w:val="00E80C93"/>
    <w:rsid w:val="00E82245"/>
    <w:rsid w:val="00E84861"/>
    <w:rsid w:val="00E9209F"/>
    <w:rsid w:val="00EA10C3"/>
    <w:rsid w:val="00EA6D6B"/>
    <w:rsid w:val="00EA713A"/>
    <w:rsid w:val="00EB198C"/>
    <w:rsid w:val="00EB398F"/>
    <w:rsid w:val="00EB5B2E"/>
    <w:rsid w:val="00EB66AC"/>
    <w:rsid w:val="00EB77DC"/>
    <w:rsid w:val="00EC0AC3"/>
    <w:rsid w:val="00EC14BF"/>
    <w:rsid w:val="00EC4FA9"/>
    <w:rsid w:val="00EC574D"/>
    <w:rsid w:val="00ED2827"/>
    <w:rsid w:val="00ED4C18"/>
    <w:rsid w:val="00EE0908"/>
    <w:rsid w:val="00EE0B62"/>
    <w:rsid w:val="00EE1C5F"/>
    <w:rsid w:val="00EE4C1B"/>
    <w:rsid w:val="00EE5055"/>
    <w:rsid w:val="00EF6D13"/>
    <w:rsid w:val="00EF7E31"/>
    <w:rsid w:val="00F13814"/>
    <w:rsid w:val="00F15C67"/>
    <w:rsid w:val="00F15C97"/>
    <w:rsid w:val="00F24D5A"/>
    <w:rsid w:val="00F25A13"/>
    <w:rsid w:val="00F25E80"/>
    <w:rsid w:val="00F31154"/>
    <w:rsid w:val="00F323F7"/>
    <w:rsid w:val="00F343FF"/>
    <w:rsid w:val="00F35FCB"/>
    <w:rsid w:val="00F4103F"/>
    <w:rsid w:val="00F42706"/>
    <w:rsid w:val="00F46282"/>
    <w:rsid w:val="00F51F52"/>
    <w:rsid w:val="00F625EF"/>
    <w:rsid w:val="00F82454"/>
    <w:rsid w:val="00F82A10"/>
    <w:rsid w:val="00F85433"/>
    <w:rsid w:val="00F87F25"/>
    <w:rsid w:val="00F94C73"/>
    <w:rsid w:val="00F95AF0"/>
    <w:rsid w:val="00F97587"/>
    <w:rsid w:val="00FA4483"/>
    <w:rsid w:val="00FB340F"/>
    <w:rsid w:val="00FB38D3"/>
    <w:rsid w:val="00FB5239"/>
    <w:rsid w:val="00FB5290"/>
    <w:rsid w:val="00FC3675"/>
    <w:rsid w:val="00FC42B0"/>
    <w:rsid w:val="00FC51D6"/>
    <w:rsid w:val="00FC786D"/>
    <w:rsid w:val="00FD2628"/>
    <w:rsid w:val="00FD2C75"/>
    <w:rsid w:val="00FD7428"/>
    <w:rsid w:val="00FE05BF"/>
    <w:rsid w:val="00FE0E5D"/>
    <w:rsid w:val="00FE1642"/>
    <w:rsid w:val="00FF3D57"/>
    <w:rsid w:val="00FF5648"/>
    <w:rsid w:val="00FF7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4D900"/>
  <w15:chartTrackingRefBased/>
  <w15:docId w15:val="{56F550B6-41B9-41C8-83CF-E0C8ADF7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60A"/>
    <w:pPr>
      <w:spacing w:after="120"/>
    </w:pPr>
  </w:style>
  <w:style w:type="paragraph" w:styleId="Heading1">
    <w:name w:val="heading 1"/>
    <w:basedOn w:val="Normal"/>
    <w:next w:val="Normal"/>
    <w:link w:val="Heading1Char"/>
    <w:uiPriority w:val="9"/>
    <w:qFormat/>
    <w:rsid w:val="0024248A"/>
    <w:pPr>
      <w:keepNext/>
      <w:keepLines/>
      <w:numPr>
        <w:numId w:val="11"/>
      </w:numPr>
      <w:spacing w:before="240"/>
      <w:outlineLvl w:val="0"/>
    </w:pPr>
    <w:rPr>
      <w:rFonts w:asciiTheme="majorHAnsi" w:eastAsiaTheme="majorEastAsia" w:hAnsiTheme="majorHAnsi" w:cstheme="majorBidi"/>
      <w:b/>
      <w:color w:val="4682BE" w:themeColor="text1"/>
      <w:sz w:val="36"/>
      <w:szCs w:val="32"/>
    </w:rPr>
  </w:style>
  <w:style w:type="paragraph" w:styleId="Heading2">
    <w:name w:val="heading 2"/>
    <w:basedOn w:val="Normal"/>
    <w:next w:val="Normal"/>
    <w:link w:val="Heading2Char"/>
    <w:uiPriority w:val="9"/>
    <w:unhideWhenUsed/>
    <w:qFormat/>
    <w:rsid w:val="0071323C"/>
    <w:pPr>
      <w:keepNext/>
      <w:keepLines/>
      <w:numPr>
        <w:ilvl w:val="1"/>
        <w:numId w:val="11"/>
      </w:numPr>
      <w:spacing w:before="240"/>
      <w:outlineLvl w:val="1"/>
    </w:pPr>
    <w:rPr>
      <w:rFonts w:asciiTheme="majorHAnsi" w:eastAsiaTheme="majorEastAsia" w:hAnsiTheme="majorHAnsi" w:cstheme="majorBidi"/>
      <w:b/>
      <w:color w:val="4682BE" w:themeColor="text1"/>
      <w:sz w:val="28"/>
      <w:szCs w:val="26"/>
    </w:rPr>
  </w:style>
  <w:style w:type="paragraph" w:styleId="Heading3">
    <w:name w:val="heading 3"/>
    <w:basedOn w:val="Normal"/>
    <w:next w:val="Normal"/>
    <w:link w:val="Heading3Char"/>
    <w:uiPriority w:val="9"/>
    <w:unhideWhenUsed/>
    <w:qFormat/>
    <w:rsid w:val="0071323C"/>
    <w:pPr>
      <w:keepNext/>
      <w:keepLines/>
      <w:numPr>
        <w:ilvl w:val="2"/>
        <w:numId w:val="11"/>
      </w:numPr>
      <w:spacing w:before="240"/>
      <w:ind w:left="993" w:hanging="1004"/>
      <w:outlineLvl w:val="2"/>
    </w:pPr>
    <w:rPr>
      <w:rFonts w:asciiTheme="majorHAnsi" w:eastAsiaTheme="majorEastAsia" w:hAnsiTheme="majorHAnsi" w:cstheme="majorBidi"/>
      <w:color w:val="4682BE" w:themeColor="text1"/>
      <w:sz w:val="28"/>
      <w:szCs w:val="26"/>
    </w:rPr>
  </w:style>
  <w:style w:type="paragraph" w:styleId="Heading4">
    <w:name w:val="heading 4"/>
    <w:basedOn w:val="Normal"/>
    <w:next w:val="Normal"/>
    <w:link w:val="Heading4Char"/>
    <w:uiPriority w:val="9"/>
    <w:unhideWhenUsed/>
    <w:qFormat/>
    <w:rsid w:val="006C2418"/>
    <w:pPr>
      <w:keepNext/>
      <w:keepLines/>
      <w:numPr>
        <w:ilvl w:val="3"/>
        <w:numId w:val="11"/>
      </w:numPr>
      <w:spacing w:before="240"/>
      <w:ind w:left="1276" w:hanging="1276"/>
      <w:outlineLvl w:val="3"/>
    </w:pPr>
    <w:rPr>
      <w:rFonts w:asciiTheme="majorHAnsi" w:eastAsiaTheme="majorEastAsia" w:hAnsiTheme="majorHAnsi" w:cstheme="majorBidi"/>
      <w:b/>
      <w:iCs/>
      <w:color w:val="4682BE" w:themeColor="text1"/>
      <w:sz w:val="24"/>
    </w:rPr>
  </w:style>
  <w:style w:type="paragraph" w:styleId="Heading5">
    <w:name w:val="heading 5"/>
    <w:basedOn w:val="Normal"/>
    <w:next w:val="Normal"/>
    <w:link w:val="Heading5Char"/>
    <w:uiPriority w:val="9"/>
    <w:unhideWhenUsed/>
    <w:qFormat/>
    <w:rsid w:val="006C2418"/>
    <w:pPr>
      <w:keepNext/>
      <w:keepLines/>
      <w:numPr>
        <w:ilvl w:val="4"/>
        <w:numId w:val="11"/>
      </w:numPr>
      <w:spacing w:before="240"/>
      <w:ind w:left="1418" w:hanging="1418"/>
      <w:outlineLvl w:val="4"/>
    </w:pPr>
    <w:rPr>
      <w:rFonts w:asciiTheme="majorHAnsi" w:eastAsiaTheme="majorEastAsia" w:hAnsiTheme="majorHAnsi" w:cstheme="majorBidi"/>
      <w:color w:val="4682BE" w:themeColor="text1"/>
      <w:sz w:val="24"/>
    </w:rPr>
  </w:style>
  <w:style w:type="paragraph" w:styleId="Heading6">
    <w:name w:val="heading 6"/>
    <w:basedOn w:val="Normal"/>
    <w:next w:val="Normal"/>
    <w:link w:val="Heading6Char"/>
    <w:uiPriority w:val="9"/>
    <w:unhideWhenUsed/>
    <w:qFormat/>
    <w:rsid w:val="00CC43A5"/>
    <w:pPr>
      <w:keepNext/>
      <w:keepLines/>
      <w:numPr>
        <w:ilvl w:val="5"/>
        <w:numId w:val="11"/>
      </w:numPr>
      <w:spacing w:before="240"/>
      <w:ind w:left="1560" w:hanging="1560"/>
      <w:outlineLvl w:val="5"/>
    </w:pPr>
    <w:rPr>
      <w:rFonts w:asciiTheme="majorHAnsi" w:eastAsiaTheme="majorEastAsia" w:hAnsiTheme="majorHAnsi" w:cstheme="majorBidi"/>
      <w:i/>
      <w:color w:val="4682BE" w:themeColor="text1"/>
      <w:sz w:val="24"/>
    </w:rPr>
  </w:style>
  <w:style w:type="paragraph" w:styleId="Heading7">
    <w:name w:val="heading 7"/>
    <w:basedOn w:val="Normal"/>
    <w:next w:val="Normal"/>
    <w:link w:val="Heading7Char"/>
    <w:uiPriority w:val="9"/>
    <w:unhideWhenUsed/>
    <w:qFormat/>
    <w:rsid w:val="00CC43A5"/>
    <w:pPr>
      <w:keepNext/>
      <w:keepLines/>
      <w:numPr>
        <w:ilvl w:val="6"/>
        <w:numId w:val="11"/>
      </w:numPr>
      <w:spacing w:before="240"/>
      <w:ind w:left="1701" w:hanging="1701"/>
      <w:outlineLvl w:val="6"/>
    </w:pPr>
    <w:rPr>
      <w:rFonts w:asciiTheme="majorHAnsi" w:eastAsiaTheme="majorEastAsia" w:hAnsiTheme="majorHAnsi" w:cstheme="majorBidi"/>
      <w:b/>
      <w:iCs/>
      <w:color w:val="4682BE" w:themeColor="text1"/>
    </w:rPr>
  </w:style>
  <w:style w:type="paragraph" w:styleId="Heading8">
    <w:name w:val="heading 8"/>
    <w:basedOn w:val="Normal"/>
    <w:next w:val="Normal"/>
    <w:link w:val="Heading8Char"/>
    <w:uiPriority w:val="9"/>
    <w:unhideWhenUsed/>
    <w:qFormat/>
    <w:rsid w:val="006833EB"/>
    <w:pPr>
      <w:keepNext/>
      <w:keepLines/>
      <w:numPr>
        <w:ilvl w:val="7"/>
        <w:numId w:val="11"/>
      </w:numPr>
      <w:spacing w:before="240"/>
      <w:ind w:left="1843" w:hanging="1843"/>
      <w:outlineLvl w:val="7"/>
    </w:pPr>
    <w:rPr>
      <w:rFonts w:asciiTheme="majorHAnsi" w:eastAsiaTheme="majorEastAsia" w:hAnsiTheme="majorHAnsi" w:cstheme="majorBidi"/>
      <w:color w:val="4682BE" w:themeColor="text1"/>
      <w:szCs w:val="21"/>
    </w:rPr>
  </w:style>
  <w:style w:type="paragraph" w:styleId="Heading9">
    <w:name w:val="heading 9"/>
    <w:basedOn w:val="Normal"/>
    <w:next w:val="Normal"/>
    <w:link w:val="Heading9Char"/>
    <w:uiPriority w:val="9"/>
    <w:unhideWhenUsed/>
    <w:qFormat/>
    <w:rsid w:val="006833EB"/>
    <w:pPr>
      <w:keepNext/>
      <w:keepLines/>
      <w:numPr>
        <w:ilvl w:val="8"/>
        <w:numId w:val="11"/>
      </w:numPr>
      <w:spacing w:before="240"/>
      <w:ind w:left="1985" w:hanging="1985"/>
      <w:outlineLvl w:val="8"/>
    </w:pPr>
    <w:rPr>
      <w:rFonts w:asciiTheme="majorHAnsi" w:eastAsiaTheme="majorEastAsia" w:hAnsiTheme="majorHAnsi" w:cstheme="majorBidi"/>
      <w:i/>
      <w:iCs/>
      <w:color w:val="4682BE"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CD3"/>
    <w:pPr>
      <w:tabs>
        <w:tab w:val="center" w:pos="4513"/>
        <w:tab w:val="right" w:pos="9026"/>
      </w:tabs>
    </w:pPr>
  </w:style>
  <w:style w:type="character" w:customStyle="1" w:styleId="HeaderChar">
    <w:name w:val="Header Char"/>
    <w:basedOn w:val="DefaultParagraphFont"/>
    <w:link w:val="Header"/>
    <w:uiPriority w:val="99"/>
    <w:rsid w:val="00234CD3"/>
  </w:style>
  <w:style w:type="paragraph" w:styleId="Footer">
    <w:name w:val="footer"/>
    <w:basedOn w:val="Normal"/>
    <w:link w:val="FooterChar"/>
    <w:uiPriority w:val="99"/>
    <w:unhideWhenUsed/>
    <w:rsid w:val="00234CD3"/>
    <w:pPr>
      <w:tabs>
        <w:tab w:val="center" w:pos="4513"/>
        <w:tab w:val="right" w:pos="9026"/>
      </w:tabs>
    </w:pPr>
  </w:style>
  <w:style w:type="character" w:customStyle="1" w:styleId="FooterChar">
    <w:name w:val="Footer Char"/>
    <w:basedOn w:val="DefaultParagraphFont"/>
    <w:link w:val="Footer"/>
    <w:uiPriority w:val="99"/>
    <w:rsid w:val="00234CD3"/>
  </w:style>
  <w:style w:type="paragraph" w:styleId="BalloonText">
    <w:name w:val="Balloon Text"/>
    <w:basedOn w:val="Normal"/>
    <w:link w:val="BalloonTextChar"/>
    <w:uiPriority w:val="99"/>
    <w:semiHidden/>
    <w:unhideWhenUsed/>
    <w:rsid w:val="00234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D3"/>
    <w:rPr>
      <w:rFonts w:ascii="Segoe UI" w:hAnsi="Segoe UI" w:cs="Segoe UI"/>
      <w:sz w:val="18"/>
      <w:szCs w:val="18"/>
    </w:rPr>
  </w:style>
  <w:style w:type="table" w:styleId="TableGrid">
    <w:name w:val="Table Grid"/>
    <w:basedOn w:val="TableNormal"/>
    <w:uiPriority w:val="39"/>
    <w:rsid w:val="0023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248A"/>
    <w:rPr>
      <w:rFonts w:asciiTheme="majorHAnsi" w:eastAsiaTheme="majorEastAsia" w:hAnsiTheme="majorHAnsi" w:cstheme="majorBidi"/>
      <w:b/>
      <w:color w:val="4682BE" w:themeColor="text1"/>
      <w:sz w:val="36"/>
      <w:szCs w:val="32"/>
    </w:rPr>
  </w:style>
  <w:style w:type="character" w:styleId="Hyperlink">
    <w:name w:val="Hyperlink"/>
    <w:basedOn w:val="DefaultParagraphFont"/>
    <w:uiPriority w:val="99"/>
    <w:unhideWhenUsed/>
    <w:rsid w:val="00CE6548"/>
    <w:rPr>
      <w:color w:val="4682BE" w:themeColor="hyperlink"/>
      <w:u w:val="single"/>
    </w:rPr>
  </w:style>
  <w:style w:type="character" w:styleId="UnresolvedMention">
    <w:name w:val="Unresolved Mention"/>
    <w:basedOn w:val="DefaultParagraphFont"/>
    <w:uiPriority w:val="99"/>
    <w:semiHidden/>
    <w:unhideWhenUsed/>
    <w:rsid w:val="00107455"/>
    <w:rPr>
      <w:color w:val="605E5C"/>
      <w:shd w:val="clear" w:color="auto" w:fill="E1DFDD"/>
    </w:rPr>
  </w:style>
  <w:style w:type="table" w:styleId="GridTable1Light">
    <w:name w:val="Grid Table 1 Light"/>
    <w:basedOn w:val="TableNormal"/>
    <w:uiPriority w:val="46"/>
    <w:rsid w:val="00107455"/>
    <w:pPr>
      <w:spacing w:after="0" w:line="240" w:lineRule="auto"/>
    </w:pPr>
    <w:tblPr>
      <w:tblStyleRowBandSize w:val="1"/>
      <w:tblStyleColBandSize w:val="1"/>
      <w:tblBorders>
        <w:top w:val="single" w:sz="4" w:space="0" w:color="B5CCE5" w:themeColor="text1" w:themeTint="66"/>
        <w:left w:val="single" w:sz="4" w:space="0" w:color="B5CCE5" w:themeColor="text1" w:themeTint="66"/>
        <w:bottom w:val="single" w:sz="4" w:space="0" w:color="B5CCE5" w:themeColor="text1" w:themeTint="66"/>
        <w:right w:val="single" w:sz="4" w:space="0" w:color="B5CCE5" w:themeColor="text1" w:themeTint="66"/>
        <w:insideH w:val="single" w:sz="4" w:space="0" w:color="B5CCE5" w:themeColor="text1" w:themeTint="66"/>
        <w:insideV w:val="single" w:sz="4" w:space="0" w:color="B5CCE5" w:themeColor="text1" w:themeTint="66"/>
      </w:tblBorders>
    </w:tblPr>
    <w:tblStylePr w:type="firstRow">
      <w:rPr>
        <w:b/>
        <w:bCs/>
      </w:rPr>
      <w:tblPr/>
      <w:tcPr>
        <w:tcBorders>
          <w:bottom w:val="single" w:sz="12" w:space="0" w:color="90B3D8" w:themeColor="text1" w:themeTint="99"/>
        </w:tcBorders>
      </w:tcPr>
    </w:tblStylePr>
    <w:tblStylePr w:type="lastRow">
      <w:rPr>
        <w:b/>
        <w:bCs/>
      </w:rPr>
      <w:tblPr/>
      <w:tcPr>
        <w:tcBorders>
          <w:top w:val="double" w:sz="2" w:space="0" w:color="90B3D8"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rsid w:val="0013193F"/>
    <w:pPr>
      <w:ind w:left="720"/>
      <w:contextualSpacing/>
    </w:pPr>
  </w:style>
  <w:style w:type="character" w:customStyle="1" w:styleId="Heading2Char">
    <w:name w:val="Heading 2 Char"/>
    <w:basedOn w:val="DefaultParagraphFont"/>
    <w:link w:val="Heading2"/>
    <w:uiPriority w:val="9"/>
    <w:rsid w:val="0071323C"/>
    <w:rPr>
      <w:rFonts w:asciiTheme="majorHAnsi" w:eastAsiaTheme="majorEastAsia" w:hAnsiTheme="majorHAnsi" w:cstheme="majorBidi"/>
      <w:b/>
      <w:color w:val="4682BE" w:themeColor="text1"/>
      <w:sz w:val="28"/>
      <w:szCs w:val="26"/>
    </w:rPr>
  </w:style>
  <w:style w:type="character" w:styleId="PlaceholderText">
    <w:name w:val="Placeholder Text"/>
    <w:basedOn w:val="DefaultParagraphFont"/>
    <w:uiPriority w:val="99"/>
    <w:semiHidden/>
    <w:rsid w:val="001426D5"/>
    <w:rPr>
      <w:color w:val="808080"/>
    </w:rPr>
  </w:style>
  <w:style w:type="character" w:customStyle="1" w:styleId="Heading3Char">
    <w:name w:val="Heading 3 Char"/>
    <w:basedOn w:val="DefaultParagraphFont"/>
    <w:link w:val="Heading3"/>
    <w:uiPriority w:val="9"/>
    <w:rsid w:val="0071323C"/>
    <w:rPr>
      <w:rFonts w:asciiTheme="majorHAnsi" w:eastAsiaTheme="majorEastAsia" w:hAnsiTheme="majorHAnsi" w:cstheme="majorBidi"/>
      <w:color w:val="4682BE" w:themeColor="text1"/>
      <w:sz w:val="28"/>
      <w:szCs w:val="26"/>
    </w:rPr>
  </w:style>
  <w:style w:type="character" w:customStyle="1" w:styleId="Heading4Char">
    <w:name w:val="Heading 4 Char"/>
    <w:basedOn w:val="DefaultParagraphFont"/>
    <w:link w:val="Heading4"/>
    <w:uiPriority w:val="9"/>
    <w:rsid w:val="006C2418"/>
    <w:rPr>
      <w:rFonts w:asciiTheme="majorHAnsi" w:eastAsiaTheme="majorEastAsia" w:hAnsiTheme="majorHAnsi" w:cstheme="majorBidi"/>
      <w:b/>
      <w:iCs/>
      <w:color w:val="4682BE" w:themeColor="text1"/>
      <w:sz w:val="24"/>
    </w:rPr>
  </w:style>
  <w:style w:type="character" w:customStyle="1" w:styleId="Heading5Char">
    <w:name w:val="Heading 5 Char"/>
    <w:basedOn w:val="DefaultParagraphFont"/>
    <w:link w:val="Heading5"/>
    <w:uiPriority w:val="9"/>
    <w:rsid w:val="006C2418"/>
    <w:rPr>
      <w:rFonts w:asciiTheme="majorHAnsi" w:eastAsiaTheme="majorEastAsia" w:hAnsiTheme="majorHAnsi" w:cstheme="majorBidi"/>
      <w:color w:val="4682BE" w:themeColor="text1"/>
      <w:sz w:val="24"/>
    </w:rPr>
  </w:style>
  <w:style w:type="character" w:customStyle="1" w:styleId="Heading6Char">
    <w:name w:val="Heading 6 Char"/>
    <w:basedOn w:val="DefaultParagraphFont"/>
    <w:link w:val="Heading6"/>
    <w:uiPriority w:val="9"/>
    <w:rsid w:val="00CC43A5"/>
    <w:rPr>
      <w:rFonts w:asciiTheme="majorHAnsi" w:eastAsiaTheme="majorEastAsia" w:hAnsiTheme="majorHAnsi" w:cstheme="majorBidi"/>
      <w:i/>
      <w:color w:val="4682BE" w:themeColor="text1"/>
      <w:sz w:val="24"/>
    </w:rPr>
  </w:style>
  <w:style w:type="character" w:customStyle="1" w:styleId="Heading7Char">
    <w:name w:val="Heading 7 Char"/>
    <w:basedOn w:val="DefaultParagraphFont"/>
    <w:link w:val="Heading7"/>
    <w:uiPriority w:val="9"/>
    <w:rsid w:val="00CC43A5"/>
    <w:rPr>
      <w:rFonts w:asciiTheme="majorHAnsi" w:eastAsiaTheme="majorEastAsia" w:hAnsiTheme="majorHAnsi" w:cstheme="majorBidi"/>
      <w:b/>
      <w:iCs/>
      <w:color w:val="4682BE" w:themeColor="text1"/>
      <w:sz w:val="20"/>
    </w:rPr>
  </w:style>
  <w:style w:type="character" w:customStyle="1" w:styleId="Heading8Char">
    <w:name w:val="Heading 8 Char"/>
    <w:basedOn w:val="DefaultParagraphFont"/>
    <w:link w:val="Heading8"/>
    <w:uiPriority w:val="9"/>
    <w:rsid w:val="006833EB"/>
    <w:rPr>
      <w:rFonts w:asciiTheme="majorHAnsi" w:eastAsiaTheme="majorEastAsia" w:hAnsiTheme="majorHAnsi" w:cstheme="majorBidi"/>
      <w:color w:val="4682BE" w:themeColor="text1"/>
      <w:sz w:val="20"/>
      <w:szCs w:val="21"/>
    </w:rPr>
  </w:style>
  <w:style w:type="character" w:customStyle="1" w:styleId="Heading9Char">
    <w:name w:val="Heading 9 Char"/>
    <w:basedOn w:val="DefaultParagraphFont"/>
    <w:link w:val="Heading9"/>
    <w:uiPriority w:val="9"/>
    <w:rsid w:val="006833EB"/>
    <w:rPr>
      <w:rFonts w:asciiTheme="majorHAnsi" w:eastAsiaTheme="majorEastAsia" w:hAnsiTheme="majorHAnsi" w:cstheme="majorBidi"/>
      <w:i/>
      <w:iCs/>
      <w:color w:val="4682BE" w:themeColor="text1"/>
      <w:sz w:val="20"/>
      <w:szCs w:val="21"/>
    </w:rPr>
  </w:style>
  <w:style w:type="paragraph" w:styleId="TOC1">
    <w:name w:val="toc 1"/>
    <w:basedOn w:val="Normal"/>
    <w:next w:val="Normal"/>
    <w:autoRedefine/>
    <w:uiPriority w:val="39"/>
    <w:unhideWhenUsed/>
    <w:rsid w:val="00813249"/>
    <w:pPr>
      <w:spacing w:before="120"/>
    </w:pPr>
    <w:rPr>
      <w:b/>
    </w:rPr>
  </w:style>
  <w:style w:type="paragraph" w:styleId="TOC2">
    <w:name w:val="toc 2"/>
    <w:basedOn w:val="Normal"/>
    <w:next w:val="Normal"/>
    <w:autoRedefine/>
    <w:uiPriority w:val="39"/>
    <w:unhideWhenUsed/>
    <w:rsid w:val="00813249"/>
    <w:pPr>
      <w:spacing w:before="120"/>
      <w:ind w:left="198"/>
    </w:pPr>
  </w:style>
  <w:style w:type="paragraph" w:styleId="TOC3">
    <w:name w:val="toc 3"/>
    <w:basedOn w:val="Normal"/>
    <w:next w:val="Normal"/>
    <w:autoRedefine/>
    <w:uiPriority w:val="39"/>
    <w:unhideWhenUsed/>
    <w:rsid w:val="00813249"/>
    <w:pPr>
      <w:spacing w:before="120"/>
      <w:ind w:left="403"/>
    </w:pPr>
  </w:style>
  <w:style w:type="paragraph" w:styleId="BodyText">
    <w:name w:val="Body Text"/>
    <w:basedOn w:val="Normal"/>
    <w:link w:val="BodyTextChar"/>
    <w:rsid w:val="00156029"/>
    <w:pPr>
      <w:spacing w:line="280" w:lineRule="exact"/>
    </w:pPr>
    <w:rPr>
      <w:rFonts w:ascii="Arial" w:eastAsia="Times New Roman" w:hAnsi="Arial" w:cs="Times New Roman"/>
      <w:sz w:val="21"/>
      <w:szCs w:val="20"/>
      <w:lang w:val="nl-NL" w:eastAsia="en-GB"/>
    </w:rPr>
  </w:style>
  <w:style w:type="character" w:customStyle="1" w:styleId="BodyTextChar">
    <w:name w:val="Body Text Char"/>
    <w:basedOn w:val="DefaultParagraphFont"/>
    <w:link w:val="BodyText"/>
    <w:rsid w:val="00156029"/>
    <w:rPr>
      <w:rFonts w:ascii="Arial" w:eastAsia="Times New Roman" w:hAnsi="Arial" w:cs="Times New Roman"/>
      <w:sz w:val="21"/>
      <w:szCs w:val="20"/>
      <w:lang w:val="nl-NL" w:eastAsia="en-GB"/>
    </w:rPr>
  </w:style>
  <w:style w:type="paragraph" w:styleId="Title">
    <w:name w:val="Title"/>
    <w:basedOn w:val="Normal"/>
    <w:next w:val="Normal"/>
    <w:link w:val="TitleChar"/>
    <w:uiPriority w:val="10"/>
    <w:qFormat/>
    <w:rsid w:val="00165F33"/>
    <w:pPr>
      <w:spacing w:after="0"/>
    </w:pPr>
    <w:rPr>
      <w:b/>
      <w:bCs/>
      <w:color w:val="96C83C" w:themeColor="text2"/>
      <w:sz w:val="48"/>
      <w:szCs w:val="52"/>
      <w:lang w:val="fr-BE"/>
    </w:rPr>
  </w:style>
  <w:style w:type="character" w:customStyle="1" w:styleId="TitleChar">
    <w:name w:val="Title Char"/>
    <w:basedOn w:val="DefaultParagraphFont"/>
    <w:link w:val="Title"/>
    <w:uiPriority w:val="10"/>
    <w:rsid w:val="00165F33"/>
    <w:rPr>
      <w:b/>
      <w:bCs/>
      <w:color w:val="96C83C" w:themeColor="text2"/>
      <w:sz w:val="48"/>
      <w:szCs w:val="52"/>
      <w:lang w:val="fr-BE"/>
    </w:rPr>
  </w:style>
  <w:style w:type="paragraph" w:styleId="NoSpacing">
    <w:name w:val="No Spacing"/>
    <w:uiPriority w:val="1"/>
    <w:qFormat/>
    <w:rsid w:val="00AA6B45"/>
    <w:pPr>
      <w:spacing w:after="0" w:line="240" w:lineRule="auto"/>
    </w:pPr>
    <w:rPr>
      <w:sz w:val="20"/>
    </w:rPr>
  </w:style>
  <w:style w:type="paragraph" w:styleId="Subtitle">
    <w:name w:val="Subtitle"/>
    <w:aliases w:val="Document type"/>
    <w:basedOn w:val="Normal"/>
    <w:next w:val="Normal"/>
    <w:link w:val="SubtitleChar"/>
    <w:uiPriority w:val="11"/>
    <w:qFormat/>
    <w:rsid w:val="00721A61"/>
    <w:pPr>
      <w:spacing w:after="0"/>
    </w:pPr>
    <w:rPr>
      <w:b/>
      <w:bCs/>
      <w:caps/>
      <w:color w:val="FFFFFF" w:themeColor="background1"/>
      <w:sz w:val="32"/>
      <w:szCs w:val="36"/>
      <w:lang w:val="fr-BE"/>
    </w:rPr>
  </w:style>
  <w:style w:type="character" w:customStyle="1" w:styleId="SubtitleChar">
    <w:name w:val="Subtitle Char"/>
    <w:aliases w:val="Document type Char"/>
    <w:basedOn w:val="DefaultParagraphFont"/>
    <w:link w:val="Subtitle"/>
    <w:uiPriority w:val="11"/>
    <w:rsid w:val="00721A61"/>
    <w:rPr>
      <w:b/>
      <w:bCs/>
      <w:caps/>
      <w:color w:val="FFFFFF" w:themeColor="background1"/>
      <w:sz w:val="32"/>
      <w:szCs w:val="36"/>
      <w:lang w:val="fr-BE"/>
    </w:rPr>
  </w:style>
  <w:style w:type="character" w:styleId="SubtleEmphasis">
    <w:name w:val="Subtle Emphasis"/>
    <w:aliases w:val="Document information"/>
    <w:uiPriority w:val="19"/>
    <w:qFormat/>
    <w:rsid w:val="007E6BDF"/>
    <w:rPr>
      <w:b/>
      <w:bCs/>
      <w:color w:val="FFFFFF" w:themeColor="background1"/>
      <w:lang w:val="fr-BE"/>
    </w:rPr>
  </w:style>
  <w:style w:type="paragraph" w:styleId="NormalWeb">
    <w:name w:val="Normal (Web)"/>
    <w:basedOn w:val="Normal"/>
    <w:uiPriority w:val="99"/>
    <w:semiHidden/>
    <w:unhideWhenUsed/>
    <w:rsid w:val="00D6101A"/>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styleId="FollowedHyperlink">
    <w:name w:val="FollowedHyperlink"/>
    <w:basedOn w:val="DefaultParagraphFont"/>
    <w:uiPriority w:val="99"/>
    <w:semiHidden/>
    <w:unhideWhenUsed/>
    <w:rsid w:val="0080076E"/>
    <w:rPr>
      <w:color w:val="954F72" w:themeColor="followedHyperlink"/>
      <w:u w:val="single"/>
    </w:rPr>
  </w:style>
  <w:style w:type="character" w:customStyle="1" w:styleId="normaltextrun">
    <w:name w:val="normaltextrun"/>
    <w:basedOn w:val="DefaultParagraphFont"/>
    <w:rsid w:val="00B70768"/>
  </w:style>
  <w:style w:type="paragraph" w:styleId="FootnoteText">
    <w:name w:val="footnote text"/>
    <w:basedOn w:val="Normal"/>
    <w:link w:val="FootnoteTextChar"/>
    <w:uiPriority w:val="99"/>
    <w:semiHidden/>
    <w:unhideWhenUsed/>
    <w:rsid w:val="00040C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CF0"/>
    <w:rPr>
      <w:sz w:val="20"/>
      <w:szCs w:val="20"/>
    </w:rPr>
  </w:style>
  <w:style w:type="character" w:styleId="FootnoteReference">
    <w:name w:val="footnote reference"/>
    <w:basedOn w:val="DefaultParagraphFont"/>
    <w:uiPriority w:val="99"/>
    <w:semiHidden/>
    <w:unhideWhenUsed/>
    <w:rsid w:val="00040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4252">
      <w:bodyDiv w:val="1"/>
      <w:marLeft w:val="0"/>
      <w:marRight w:val="0"/>
      <w:marTop w:val="0"/>
      <w:marBottom w:val="0"/>
      <w:divBdr>
        <w:top w:val="none" w:sz="0" w:space="0" w:color="auto"/>
        <w:left w:val="none" w:sz="0" w:space="0" w:color="auto"/>
        <w:bottom w:val="none" w:sz="0" w:space="0" w:color="auto"/>
        <w:right w:val="none" w:sz="0" w:space="0" w:color="auto"/>
      </w:divBdr>
    </w:div>
    <w:div w:id="9672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FR/TXT/PDF/?uri=CELEX:32019L1152&amp;from=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nt-nar.be/sites/default/files/documents/fr/cct-16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nt-nar.be/sites/default/files/documents/fr/avis-2314.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nt-nar.be/sites/default/files/documents/fr/avis-2314.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vbo-feb.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728A813F44F178BA3A23C21C950D5"/>
        <w:category>
          <w:name w:val="General"/>
          <w:gallery w:val="placeholder"/>
        </w:category>
        <w:types>
          <w:type w:val="bbPlcHdr"/>
        </w:types>
        <w:behaviors>
          <w:behavior w:val="content"/>
        </w:behaviors>
        <w:guid w:val="{A1401EAF-D4E6-488C-AAAF-294E06D56CE9}"/>
      </w:docPartPr>
      <w:docPartBody>
        <w:p w:rsidR="001247E1" w:rsidRDefault="00F717CD" w:rsidP="00F717CD">
          <w:pPr>
            <w:pStyle w:val="CD1728A813F44F178BA3A23C21C950D5"/>
          </w:pPr>
          <w:r w:rsidRPr="00FD7D14">
            <w:rPr>
              <w:rStyle w:val="PlaceholderText"/>
            </w:rPr>
            <w:t>Click or tap here to enter text.</w:t>
          </w:r>
        </w:p>
      </w:docPartBody>
    </w:docPart>
    <w:docPart>
      <w:docPartPr>
        <w:name w:val="4693CF15CCC44D9C9D13287F2F4B8590"/>
        <w:category>
          <w:name w:val="General"/>
          <w:gallery w:val="placeholder"/>
        </w:category>
        <w:types>
          <w:type w:val="bbPlcHdr"/>
        </w:types>
        <w:behaviors>
          <w:behavior w:val="content"/>
        </w:behaviors>
        <w:guid w:val="{165A8D15-AEC5-438B-A8E4-90E040405594}"/>
      </w:docPartPr>
      <w:docPartBody>
        <w:p w:rsidR="007C6BD0" w:rsidRDefault="008701BE" w:rsidP="008701BE">
          <w:pPr>
            <w:pStyle w:val="4693CF15CCC44D9C9D13287F2F4B859010"/>
          </w:pPr>
          <w:r w:rsidRPr="0007423D">
            <w:rPr>
              <w:color w:val="FFFFFF" w:themeColor="background1"/>
              <w:lang w:val="fr-BE"/>
            </w:rPr>
            <w:t>[Prenom]</w:t>
          </w:r>
        </w:p>
      </w:docPartBody>
    </w:docPart>
    <w:docPart>
      <w:docPartPr>
        <w:name w:val="BFE3483474404BE5A6AF9DEE39A09DF6"/>
        <w:category>
          <w:name w:val="General"/>
          <w:gallery w:val="placeholder"/>
        </w:category>
        <w:types>
          <w:type w:val="bbPlcHdr"/>
        </w:types>
        <w:behaviors>
          <w:behavior w:val="content"/>
        </w:behaviors>
        <w:guid w:val="{442114D8-B3DF-4E1D-A56A-43C26ED5E0CB}"/>
      </w:docPartPr>
      <w:docPartBody>
        <w:p w:rsidR="007C6BD0" w:rsidRDefault="008701BE" w:rsidP="008701BE">
          <w:pPr>
            <w:pStyle w:val="BFE3483474404BE5A6AF9DEE39A09DF611"/>
          </w:pPr>
          <w:r w:rsidRPr="0007423D">
            <w:rPr>
              <w:color w:val="FFFFFF" w:themeColor="background1"/>
              <w:lang w:val="fr-BE"/>
            </w:rPr>
            <w:t>[Nom]</w:t>
          </w:r>
        </w:p>
      </w:docPartBody>
    </w:docPart>
    <w:docPart>
      <w:docPartPr>
        <w:name w:val="490AB39AB04A48A39BDA8BE8DA34931C"/>
        <w:category>
          <w:name w:val="General"/>
          <w:gallery w:val="placeholder"/>
        </w:category>
        <w:types>
          <w:type w:val="bbPlcHdr"/>
        </w:types>
        <w:behaviors>
          <w:behavior w:val="content"/>
        </w:behaviors>
        <w:guid w:val="{4A3C8E56-97A5-4002-85CD-1AE22F24D17E}"/>
      </w:docPartPr>
      <w:docPartBody>
        <w:p w:rsidR="007C6BD0" w:rsidRDefault="008701BE" w:rsidP="008701BE">
          <w:pPr>
            <w:pStyle w:val="490AB39AB04A48A39BDA8BE8DA34931C11"/>
          </w:pPr>
          <w:r w:rsidRPr="0007423D">
            <w:rPr>
              <w:color w:val="FFFFFF" w:themeColor="background1"/>
              <w:lang w:val="fr-BE"/>
            </w:rPr>
            <w:t>[Titre]</w:t>
          </w:r>
        </w:p>
      </w:docPartBody>
    </w:docPart>
    <w:docPart>
      <w:docPartPr>
        <w:name w:val="DefaultPlaceholder_-1854013438"/>
        <w:category>
          <w:name w:val="General"/>
          <w:gallery w:val="placeholder"/>
        </w:category>
        <w:types>
          <w:type w:val="bbPlcHdr"/>
        </w:types>
        <w:behaviors>
          <w:behavior w:val="content"/>
        </w:behaviors>
        <w:guid w:val="{2A0EA644-0E60-4D76-8B97-DF08BD0D7178}"/>
      </w:docPartPr>
      <w:docPartBody>
        <w:p w:rsidR="00983892" w:rsidRDefault="00093E29">
          <w:r w:rsidRPr="001D7AD3">
            <w:rPr>
              <w:rStyle w:val="PlaceholderText"/>
            </w:rPr>
            <w:t>Choose an item.</w:t>
          </w:r>
        </w:p>
      </w:docPartBody>
    </w:docPart>
    <w:docPart>
      <w:docPartPr>
        <w:name w:val="F15DEFEB815B4D11B8A6029368C5FA8C"/>
        <w:category>
          <w:name w:val="General"/>
          <w:gallery w:val="placeholder"/>
        </w:category>
        <w:types>
          <w:type w:val="bbPlcHdr"/>
        </w:types>
        <w:behaviors>
          <w:behavior w:val="content"/>
        </w:behaviors>
        <w:guid w:val="{21CC533E-597B-49B6-AB1B-F4E00354CCEB}"/>
      </w:docPartPr>
      <w:docPartBody>
        <w:p w:rsidR="00192E84" w:rsidRDefault="008701BE" w:rsidP="008701BE">
          <w:pPr>
            <w:pStyle w:val="F15DEFEB815B4D11B8A6029368C5FA8C1"/>
          </w:pPr>
          <w:r w:rsidRPr="00D22BEC">
            <w:rPr>
              <w:rStyle w:val="PlaceholderText"/>
              <w:color w:val="FFFFFF" w:themeColor="background1"/>
            </w:rPr>
            <w:t>[R</w:t>
          </w:r>
          <w:r>
            <w:rPr>
              <w:rStyle w:val="PlaceholderText"/>
              <w:color w:val="FFFFFF" w:themeColor="background1"/>
            </w:rPr>
            <w:t>é</w:t>
          </w:r>
          <w:r w:rsidRPr="00D22BEC">
            <w:rPr>
              <w:rStyle w:val="PlaceholderText"/>
              <w:color w:val="FFFFFF" w:themeColor="background1"/>
            </w:rPr>
            <w:t>f</w:t>
          </w:r>
          <w:r>
            <w:rPr>
              <w:rStyle w:val="PlaceholderText"/>
              <w:color w:val="FFFFFF" w:themeColor="background1"/>
            </w:rPr>
            <w:t>é</w:t>
          </w:r>
          <w:r w:rsidRPr="00D22BEC">
            <w:rPr>
              <w:rStyle w:val="PlaceholderText"/>
              <w:color w:val="FFFFFF" w:themeColor="background1"/>
            </w:rPr>
            <w:t>rence]</w:t>
          </w:r>
        </w:p>
      </w:docPartBody>
    </w:docPart>
    <w:docPart>
      <w:docPartPr>
        <w:name w:val="3816A0444E5F488F8A1348674B93423C"/>
        <w:category>
          <w:name w:val="General"/>
          <w:gallery w:val="placeholder"/>
        </w:category>
        <w:types>
          <w:type w:val="bbPlcHdr"/>
        </w:types>
        <w:behaviors>
          <w:behavior w:val="content"/>
        </w:behaviors>
        <w:guid w:val="{E56CD885-FD35-4621-9F4E-912DC3A978EF}"/>
      </w:docPartPr>
      <w:docPartBody>
        <w:p w:rsidR="00192E84" w:rsidRDefault="008701BE" w:rsidP="008701BE">
          <w:pPr>
            <w:pStyle w:val="3816A0444E5F488F8A1348674B93423C"/>
          </w:pPr>
          <w:r w:rsidRPr="00F82A10">
            <w:rPr>
              <w:rStyle w:val="PlaceholderText"/>
              <w:color w:val="FFFFFF" w:themeColor="background1"/>
              <w:lang w:val="fr-BE"/>
            </w:rPr>
            <w:t>[D</w:t>
          </w:r>
          <w:r>
            <w:rPr>
              <w:rStyle w:val="PlaceholderText"/>
              <w:color w:val="FFFFFF" w:themeColor="background1"/>
              <w:lang w:val="fr-BE"/>
            </w:rPr>
            <w:t>ate de publication</w:t>
          </w:r>
          <w:r w:rsidRPr="00F82A10">
            <w:rPr>
              <w:rStyle w:val="PlaceholderText"/>
              <w:color w:val="FFFFFF" w:themeColor="background1"/>
              <w:lang w:val="fr-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A0"/>
    <w:rsid w:val="00007CA0"/>
    <w:rsid w:val="00082F48"/>
    <w:rsid w:val="00093E29"/>
    <w:rsid w:val="001247E1"/>
    <w:rsid w:val="00185D3C"/>
    <w:rsid w:val="00192E84"/>
    <w:rsid w:val="00210E8F"/>
    <w:rsid w:val="00284180"/>
    <w:rsid w:val="002A1CA1"/>
    <w:rsid w:val="003203F3"/>
    <w:rsid w:val="00360323"/>
    <w:rsid w:val="00361139"/>
    <w:rsid w:val="00411098"/>
    <w:rsid w:val="0047305F"/>
    <w:rsid w:val="004C741E"/>
    <w:rsid w:val="00612F5A"/>
    <w:rsid w:val="007C6BD0"/>
    <w:rsid w:val="008701BE"/>
    <w:rsid w:val="008B7AC3"/>
    <w:rsid w:val="00983892"/>
    <w:rsid w:val="00A477EB"/>
    <w:rsid w:val="00A600C9"/>
    <w:rsid w:val="00A77AC0"/>
    <w:rsid w:val="00A9149E"/>
    <w:rsid w:val="00B36C17"/>
    <w:rsid w:val="00C960CD"/>
    <w:rsid w:val="00D06CF1"/>
    <w:rsid w:val="00DD3A61"/>
    <w:rsid w:val="00F17E58"/>
    <w:rsid w:val="00F45A2F"/>
    <w:rsid w:val="00F717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1BE"/>
    <w:rPr>
      <w:color w:val="808080"/>
    </w:rPr>
  </w:style>
  <w:style w:type="paragraph" w:customStyle="1" w:styleId="CD1728A813F44F178BA3A23C21C950D5">
    <w:name w:val="CD1728A813F44F178BA3A23C21C950D5"/>
    <w:rsid w:val="00F717CD"/>
  </w:style>
  <w:style w:type="character" w:styleId="SubtleEmphasis">
    <w:name w:val="Subtle Emphasis"/>
    <w:aliases w:val="Document information"/>
    <w:uiPriority w:val="19"/>
    <w:qFormat/>
    <w:rsid w:val="008701BE"/>
    <w:rPr>
      <w:b/>
      <w:bCs/>
      <w:color w:val="FFFFFF" w:themeColor="background1"/>
      <w:lang w:val="fr-BE"/>
    </w:rPr>
  </w:style>
  <w:style w:type="paragraph" w:customStyle="1" w:styleId="F15DEFEB815B4D11B8A6029368C5FA8C1">
    <w:name w:val="F15DEFEB815B4D11B8A6029368C5FA8C1"/>
    <w:rsid w:val="008701BE"/>
    <w:pPr>
      <w:spacing w:after="120"/>
    </w:pPr>
    <w:rPr>
      <w:rFonts w:eastAsiaTheme="minorHAnsi"/>
      <w:lang w:eastAsia="en-US"/>
    </w:rPr>
  </w:style>
  <w:style w:type="paragraph" w:customStyle="1" w:styleId="3816A0444E5F488F8A1348674B93423C">
    <w:name w:val="3816A0444E5F488F8A1348674B93423C"/>
    <w:rsid w:val="008701BE"/>
    <w:pPr>
      <w:spacing w:after="120"/>
    </w:pPr>
    <w:rPr>
      <w:rFonts w:eastAsiaTheme="minorHAnsi"/>
      <w:lang w:eastAsia="en-US"/>
    </w:rPr>
  </w:style>
  <w:style w:type="paragraph" w:customStyle="1" w:styleId="4693CF15CCC44D9C9D13287F2F4B859010">
    <w:name w:val="4693CF15CCC44D9C9D13287F2F4B859010"/>
    <w:rsid w:val="008701BE"/>
    <w:pPr>
      <w:spacing w:after="120"/>
    </w:pPr>
    <w:rPr>
      <w:rFonts w:eastAsiaTheme="minorHAnsi"/>
      <w:lang w:eastAsia="en-US"/>
    </w:rPr>
  </w:style>
  <w:style w:type="paragraph" w:customStyle="1" w:styleId="BFE3483474404BE5A6AF9DEE39A09DF611">
    <w:name w:val="BFE3483474404BE5A6AF9DEE39A09DF611"/>
    <w:rsid w:val="008701BE"/>
    <w:pPr>
      <w:spacing w:after="120"/>
    </w:pPr>
    <w:rPr>
      <w:rFonts w:eastAsiaTheme="minorHAnsi"/>
      <w:lang w:eastAsia="en-US"/>
    </w:rPr>
  </w:style>
  <w:style w:type="paragraph" w:customStyle="1" w:styleId="490AB39AB04A48A39BDA8BE8DA34931C11">
    <w:name w:val="490AB39AB04A48A39BDA8BE8DA34931C11"/>
    <w:rsid w:val="008701BE"/>
    <w:pPr>
      <w:spacing w:after="12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BO-FEB">
  <a:themeElements>
    <a:clrScheme name="VBO-FEB">
      <a:dk1>
        <a:srgbClr val="4682BE"/>
      </a:dk1>
      <a:lt1>
        <a:sysClr val="window" lastClr="FFFFFF"/>
      </a:lt1>
      <a:dk2>
        <a:srgbClr val="96C83C"/>
      </a:dk2>
      <a:lt2>
        <a:srgbClr val="69C3C3"/>
      </a:lt2>
      <a:accent1>
        <a:srgbClr val="508CC8"/>
      </a:accent1>
      <a:accent2>
        <a:srgbClr val="55A5C8"/>
      </a:accent2>
      <a:accent3>
        <a:srgbClr val="5FB9C3"/>
      </a:accent3>
      <a:accent4>
        <a:srgbClr val="73C3AA"/>
      </a:accent4>
      <a:accent5>
        <a:srgbClr val="87C378"/>
      </a:accent5>
      <a:accent6>
        <a:srgbClr val="96C83C"/>
      </a:accent6>
      <a:hlink>
        <a:srgbClr val="4682BE"/>
      </a:hlink>
      <a:folHlink>
        <a:srgbClr val="954F72"/>
      </a:folHlink>
    </a:clrScheme>
    <a:fontScheme name="Sillage">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BO-FEB" id="{EA769FF7-DDA9-4FC4-96BE-2654AFD6A3E6}" vid="{36372319-DCD9-487A-A510-47EDFF71C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our_x0020_Theme xmlns="a05a2000-62e8-4ca4-8839-6112c759d161">​Revision of the written statement directive (part of the Pillar of Social Rights)</Your_x0020_Theme>
    <Reference xmlns="b4a8f996-4e43-4903-b2f6-24a31ee57771" xsi:nil="true"/>
    <VBOFEBMigratedCT xmlns="b4a8f996-4e43-4903-b2f6-24a31ee57771" xsi:nil="true"/>
    <DocType xmlns="1ca47edb-ec89-477d-95b3-c873c26f8992" xsi:nil="true"/>
    <ThemeFR xmlns="b4a8f996-4e43-4903-b2f6-24a31ee57771">Europe;HR ＆ personnel</ThemeFR>
    <ThemeNL xmlns="b4a8f996-4e43-4903-b2f6-24a31ee57771">Europa;HR ＆ personeel</ThemeNL>
    <VBOFEBLanguage xmlns="a05a2000-62e8-4ca4-8839-6112c759d161" xsi:nil="true"/>
    <ThemeENG xmlns="b4a8f996-4e43-4903-b2f6-24a31ee57771">Europe;HR ＆ personnel</ThemeE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VBO FEB Document" ma:contentTypeID="0x0101005215A34420C777498D5F7B584A0C8C82002174A9C77EF44947994BDD3C8CBC9624" ma:contentTypeVersion="15" ma:contentTypeDescription="Create a new document." ma:contentTypeScope="" ma:versionID="95c629667ceb265698979f13d7912bc1">
  <xsd:schema xmlns:xsd="http://www.w3.org/2001/XMLSchema" xmlns:xs="http://www.w3.org/2001/XMLSchema" xmlns:p="http://schemas.microsoft.com/office/2006/metadata/properties" xmlns:ns2="1ca47edb-ec89-477d-95b3-c873c26f8992" xmlns:ns3="a05a2000-62e8-4ca4-8839-6112c759d161" xmlns:ns4="b4a8f996-4e43-4903-b2f6-24a31ee57771" xmlns:ns5="104a321a-352f-4a11-b69e-6b748a40817d" targetNamespace="http://schemas.microsoft.com/office/2006/metadata/properties" ma:root="true" ma:fieldsID="91480687ee68dd24e200ba5cac7133ce" ns2:_="" ns3:_="" ns4:_="" ns5:_="">
    <xsd:import namespace="1ca47edb-ec89-477d-95b3-c873c26f8992"/>
    <xsd:import namespace="a05a2000-62e8-4ca4-8839-6112c759d161"/>
    <xsd:import namespace="b4a8f996-4e43-4903-b2f6-24a31ee57771"/>
    <xsd:import namespace="104a321a-352f-4a11-b69e-6b748a40817d"/>
    <xsd:element name="properties">
      <xsd:complexType>
        <xsd:sequence>
          <xsd:element name="documentManagement">
            <xsd:complexType>
              <xsd:all>
                <xsd:element ref="ns2:DocType" minOccurs="0"/>
                <xsd:element ref="ns3:VBOFEBLanguage" minOccurs="0"/>
                <xsd:element ref="ns4:Reference" minOccurs="0"/>
                <xsd:element ref="ns4:ThemeENG" minOccurs="0"/>
                <xsd:element ref="ns4:ThemeNL" minOccurs="0"/>
                <xsd:element ref="ns4:ThemeFR" minOccurs="0"/>
                <xsd:element ref="ns3:Your_x0020_Theme" minOccurs="0"/>
                <xsd:element ref="ns4:VBOFEBMigratedCT"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7edb-ec89-477d-95b3-c873c26f8992" elementFormDefault="qualified">
    <xsd:import namespace="http://schemas.microsoft.com/office/2006/documentManagement/types"/>
    <xsd:import namespace="http://schemas.microsoft.com/office/infopath/2007/PartnerControls"/>
    <xsd:element name="DocType" ma:index="5" nillable="true" ma:displayName="DocType" ma:list="{b5d1800c-6360-412e-981e-213bc38933f8}" ma:internalName="DocType" ma:showField="Title" ma:web="1ca47edb-ec89-477d-95b3-c873c26f899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05a2000-62e8-4ca4-8839-6112c759d161" elementFormDefault="qualified">
    <xsd:import namespace="http://schemas.microsoft.com/office/2006/documentManagement/types"/>
    <xsd:import namespace="http://schemas.microsoft.com/office/infopath/2007/PartnerControls"/>
    <xsd:element name="VBOFEBLanguage" ma:index="6" nillable="true" ma:displayName="Language" ma:format="Dropdown" ma:internalName="VBOFEBLanguage">
      <xsd:simpleType>
        <xsd:restriction base="dms:Choice">
          <xsd:enumeration value="NL"/>
          <xsd:enumeration value="FR"/>
          <xsd:enumeration value="EN"/>
          <xsd:enumeration value="Multi"/>
        </xsd:restriction>
      </xsd:simpleType>
    </xsd:element>
    <xsd:element name="Your_x0020_Theme" ma:index="14" nillable="true" ma:displayName="Your Theme" ma:default="​Revision of the written statement directive (part of the Pillar of Social Rights)" ma:internalName="Your_x0020_The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8f996-4e43-4903-b2f6-24a31ee57771" elementFormDefault="qualified">
    <xsd:import namespace="http://schemas.microsoft.com/office/2006/documentManagement/types"/>
    <xsd:import namespace="http://schemas.microsoft.com/office/infopath/2007/PartnerControls"/>
    <xsd:element name="Reference" ma:index="7" nillable="true" ma:displayName="Reference" ma:internalName="Reference">
      <xsd:simpleType>
        <xsd:restriction base="dms:Text">
          <xsd:maxLength value="255"/>
        </xsd:restriction>
      </xsd:simpleType>
    </xsd:element>
    <xsd:element name="ThemeENG" ma:index="11" nillable="true" ma:displayName="ThemeENG" ma:default="Europe;HR ＆ personnel" ma:internalName="ThemeENG">
      <xsd:simpleType>
        <xsd:restriction base="dms:Text">
          <xsd:maxLength value="255"/>
        </xsd:restriction>
      </xsd:simpleType>
    </xsd:element>
    <xsd:element name="ThemeNL" ma:index="12" nillable="true" ma:displayName="ThemeNL" ma:default="Europa;HR ＆ personeel" ma:internalName="ThemeNL">
      <xsd:simpleType>
        <xsd:restriction base="dms:Text">
          <xsd:maxLength value="255"/>
        </xsd:restriction>
      </xsd:simpleType>
    </xsd:element>
    <xsd:element name="ThemeFR" ma:index="13" nillable="true" ma:displayName="ThemeFR" ma:default="Europe;HR ＆ personnel" ma:internalName="ThemeFR">
      <xsd:simpleType>
        <xsd:restriction base="dms:Text">
          <xsd:maxLength value="255"/>
        </xsd:restriction>
      </xsd:simpleType>
    </xsd:element>
    <xsd:element name="VBOFEBMigratedCT" ma:index="15" nillable="true" ma:displayName="MigratedCT" ma:internalName="VBOFEBMigrated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a321a-352f-4a11-b69e-6b748a40817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ED326-63AB-4818-AEC4-B88CF5E7B0AC}">
  <ds:schemaRefs>
    <ds:schemaRef ds:uri="http://schemas.microsoft.com/sharepoint/v3/contenttype/forms"/>
  </ds:schemaRefs>
</ds:datastoreItem>
</file>

<file path=customXml/itemProps3.xml><?xml version="1.0" encoding="utf-8"?>
<ds:datastoreItem xmlns:ds="http://schemas.openxmlformats.org/officeDocument/2006/customXml" ds:itemID="{1567F8B0-EDB0-4739-A947-3BE31AC77D2C}">
  <ds:schemaRefs>
    <ds:schemaRef ds:uri="http://schemas.microsoft.com/office/2006/metadata/properties"/>
    <ds:schemaRef ds:uri="http://schemas.microsoft.com/office/infopath/2007/PartnerControls"/>
    <ds:schemaRef ds:uri="a05a2000-62e8-4ca4-8839-6112c759d161"/>
    <ds:schemaRef ds:uri="b4a8f996-4e43-4903-b2f6-24a31ee57771"/>
    <ds:schemaRef ds:uri="1ca47edb-ec89-477d-95b3-c873c26f8992"/>
  </ds:schemaRefs>
</ds:datastoreItem>
</file>

<file path=customXml/itemProps4.xml><?xml version="1.0" encoding="utf-8"?>
<ds:datastoreItem xmlns:ds="http://schemas.openxmlformats.org/officeDocument/2006/customXml" ds:itemID="{8F2C2737-6BD9-43FD-90E7-7457167695E2}">
  <ds:schemaRefs>
    <ds:schemaRef ds:uri="http://schemas.openxmlformats.org/officeDocument/2006/bibliography"/>
  </ds:schemaRefs>
</ds:datastoreItem>
</file>

<file path=customXml/itemProps5.xml><?xml version="1.0" encoding="utf-8"?>
<ds:datastoreItem xmlns:ds="http://schemas.openxmlformats.org/officeDocument/2006/customXml" ds:itemID="{5C29349D-7E16-4C31-95CD-567D6311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47edb-ec89-477d-95b3-c873c26f8992"/>
    <ds:schemaRef ds:uri="a05a2000-62e8-4ca4-8839-6112c759d161"/>
    <ds:schemaRef ds:uri="b4a8f996-4e43-4903-b2f6-24a31ee57771"/>
    <ds:schemaRef ds:uri="104a321a-352f-4a11-b69e-6b748a408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5110</Words>
  <Characters>29130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34172</CharactersWithSpaces>
  <SharedDoc>false</SharedDoc>
  <HLinks>
    <vt:vector size="210" baseType="variant">
      <vt:variant>
        <vt:i4>262213</vt:i4>
      </vt:variant>
      <vt:variant>
        <vt:i4>186</vt:i4>
      </vt:variant>
      <vt:variant>
        <vt:i4>0</vt:i4>
      </vt:variant>
      <vt:variant>
        <vt:i4>5</vt:i4>
      </vt:variant>
      <vt:variant>
        <vt:lpwstr>https://cnt-nar.be/sites/default/files/documents/fr/avis-2314.pdf</vt:lpwstr>
      </vt:variant>
      <vt:variant>
        <vt:lpwstr/>
      </vt:variant>
      <vt:variant>
        <vt:i4>1703988</vt:i4>
      </vt:variant>
      <vt:variant>
        <vt:i4>179</vt:i4>
      </vt:variant>
      <vt:variant>
        <vt:i4>0</vt:i4>
      </vt:variant>
      <vt:variant>
        <vt:i4>5</vt:i4>
      </vt:variant>
      <vt:variant>
        <vt:lpwstr/>
      </vt:variant>
      <vt:variant>
        <vt:lpwstr>_Toc115952576</vt:lpwstr>
      </vt:variant>
      <vt:variant>
        <vt:i4>1703988</vt:i4>
      </vt:variant>
      <vt:variant>
        <vt:i4>173</vt:i4>
      </vt:variant>
      <vt:variant>
        <vt:i4>0</vt:i4>
      </vt:variant>
      <vt:variant>
        <vt:i4>5</vt:i4>
      </vt:variant>
      <vt:variant>
        <vt:lpwstr/>
      </vt:variant>
      <vt:variant>
        <vt:lpwstr>_Toc115952575</vt:lpwstr>
      </vt:variant>
      <vt:variant>
        <vt:i4>1703988</vt:i4>
      </vt:variant>
      <vt:variant>
        <vt:i4>167</vt:i4>
      </vt:variant>
      <vt:variant>
        <vt:i4>0</vt:i4>
      </vt:variant>
      <vt:variant>
        <vt:i4>5</vt:i4>
      </vt:variant>
      <vt:variant>
        <vt:lpwstr/>
      </vt:variant>
      <vt:variant>
        <vt:lpwstr>_Toc115952574</vt:lpwstr>
      </vt:variant>
      <vt:variant>
        <vt:i4>1703988</vt:i4>
      </vt:variant>
      <vt:variant>
        <vt:i4>161</vt:i4>
      </vt:variant>
      <vt:variant>
        <vt:i4>0</vt:i4>
      </vt:variant>
      <vt:variant>
        <vt:i4>5</vt:i4>
      </vt:variant>
      <vt:variant>
        <vt:lpwstr/>
      </vt:variant>
      <vt:variant>
        <vt:lpwstr>_Toc115952573</vt:lpwstr>
      </vt:variant>
      <vt:variant>
        <vt:i4>1703988</vt:i4>
      </vt:variant>
      <vt:variant>
        <vt:i4>155</vt:i4>
      </vt:variant>
      <vt:variant>
        <vt:i4>0</vt:i4>
      </vt:variant>
      <vt:variant>
        <vt:i4>5</vt:i4>
      </vt:variant>
      <vt:variant>
        <vt:lpwstr/>
      </vt:variant>
      <vt:variant>
        <vt:lpwstr>_Toc115952572</vt:lpwstr>
      </vt:variant>
      <vt:variant>
        <vt:i4>1703988</vt:i4>
      </vt:variant>
      <vt:variant>
        <vt:i4>149</vt:i4>
      </vt:variant>
      <vt:variant>
        <vt:i4>0</vt:i4>
      </vt:variant>
      <vt:variant>
        <vt:i4>5</vt:i4>
      </vt:variant>
      <vt:variant>
        <vt:lpwstr/>
      </vt:variant>
      <vt:variant>
        <vt:lpwstr>_Toc115952571</vt:lpwstr>
      </vt:variant>
      <vt:variant>
        <vt:i4>1703988</vt:i4>
      </vt:variant>
      <vt:variant>
        <vt:i4>143</vt:i4>
      </vt:variant>
      <vt:variant>
        <vt:i4>0</vt:i4>
      </vt:variant>
      <vt:variant>
        <vt:i4>5</vt:i4>
      </vt:variant>
      <vt:variant>
        <vt:lpwstr/>
      </vt:variant>
      <vt:variant>
        <vt:lpwstr>_Toc115952570</vt:lpwstr>
      </vt:variant>
      <vt:variant>
        <vt:i4>1769524</vt:i4>
      </vt:variant>
      <vt:variant>
        <vt:i4>137</vt:i4>
      </vt:variant>
      <vt:variant>
        <vt:i4>0</vt:i4>
      </vt:variant>
      <vt:variant>
        <vt:i4>5</vt:i4>
      </vt:variant>
      <vt:variant>
        <vt:lpwstr/>
      </vt:variant>
      <vt:variant>
        <vt:lpwstr>_Toc115952569</vt:lpwstr>
      </vt:variant>
      <vt:variant>
        <vt:i4>1769524</vt:i4>
      </vt:variant>
      <vt:variant>
        <vt:i4>131</vt:i4>
      </vt:variant>
      <vt:variant>
        <vt:i4>0</vt:i4>
      </vt:variant>
      <vt:variant>
        <vt:i4>5</vt:i4>
      </vt:variant>
      <vt:variant>
        <vt:lpwstr/>
      </vt:variant>
      <vt:variant>
        <vt:lpwstr>_Toc115952568</vt:lpwstr>
      </vt:variant>
      <vt:variant>
        <vt:i4>1769524</vt:i4>
      </vt:variant>
      <vt:variant>
        <vt:i4>125</vt:i4>
      </vt:variant>
      <vt:variant>
        <vt:i4>0</vt:i4>
      </vt:variant>
      <vt:variant>
        <vt:i4>5</vt:i4>
      </vt:variant>
      <vt:variant>
        <vt:lpwstr/>
      </vt:variant>
      <vt:variant>
        <vt:lpwstr>_Toc115952567</vt:lpwstr>
      </vt:variant>
      <vt:variant>
        <vt:i4>1769524</vt:i4>
      </vt:variant>
      <vt:variant>
        <vt:i4>119</vt:i4>
      </vt:variant>
      <vt:variant>
        <vt:i4>0</vt:i4>
      </vt:variant>
      <vt:variant>
        <vt:i4>5</vt:i4>
      </vt:variant>
      <vt:variant>
        <vt:lpwstr/>
      </vt:variant>
      <vt:variant>
        <vt:lpwstr>_Toc115952566</vt:lpwstr>
      </vt:variant>
      <vt:variant>
        <vt:i4>1769524</vt:i4>
      </vt:variant>
      <vt:variant>
        <vt:i4>113</vt:i4>
      </vt:variant>
      <vt:variant>
        <vt:i4>0</vt:i4>
      </vt:variant>
      <vt:variant>
        <vt:i4>5</vt:i4>
      </vt:variant>
      <vt:variant>
        <vt:lpwstr/>
      </vt:variant>
      <vt:variant>
        <vt:lpwstr>_Toc115952565</vt:lpwstr>
      </vt:variant>
      <vt:variant>
        <vt:i4>1769524</vt:i4>
      </vt:variant>
      <vt:variant>
        <vt:i4>107</vt:i4>
      </vt:variant>
      <vt:variant>
        <vt:i4>0</vt:i4>
      </vt:variant>
      <vt:variant>
        <vt:i4>5</vt:i4>
      </vt:variant>
      <vt:variant>
        <vt:lpwstr/>
      </vt:variant>
      <vt:variant>
        <vt:lpwstr>_Toc115952564</vt:lpwstr>
      </vt:variant>
      <vt:variant>
        <vt:i4>1769524</vt:i4>
      </vt:variant>
      <vt:variant>
        <vt:i4>101</vt:i4>
      </vt:variant>
      <vt:variant>
        <vt:i4>0</vt:i4>
      </vt:variant>
      <vt:variant>
        <vt:i4>5</vt:i4>
      </vt:variant>
      <vt:variant>
        <vt:lpwstr/>
      </vt:variant>
      <vt:variant>
        <vt:lpwstr>_Toc115952563</vt:lpwstr>
      </vt:variant>
      <vt:variant>
        <vt:i4>1769524</vt:i4>
      </vt:variant>
      <vt:variant>
        <vt:i4>95</vt:i4>
      </vt:variant>
      <vt:variant>
        <vt:i4>0</vt:i4>
      </vt:variant>
      <vt:variant>
        <vt:i4>5</vt:i4>
      </vt:variant>
      <vt:variant>
        <vt:lpwstr/>
      </vt:variant>
      <vt:variant>
        <vt:lpwstr>_Toc115952562</vt:lpwstr>
      </vt:variant>
      <vt:variant>
        <vt:i4>1769524</vt:i4>
      </vt:variant>
      <vt:variant>
        <vt:i4>89</vt:i4>
      </vt:variant>
      <vt:variant>
        <vt:i4>0</vt:i4>
      </vt:variant>
      <vt:variant>
        <vt:i4>5</vt:i4>
      </vt:variant>
      <vt:variant>
        <vt:lpwstr/>
      </vt:variant>
      <vt:variant>
        <vt:lpwstr>_Toc115952561</vt:lpwstr>
      </vt:variant>
      <vt:variant>
        <vt:i4>1769524</vt:i4>
      </vt:variant>
      <vt:variant>
        <vt:i4>83</vt:i4>
      </vt:variant>
      <vt:variant>
        <vt:i4>0</vt:i4>
      </vt:variant>
      <vt:variant>
        <vt:i4>5</vt:i4>
      </vt:variant>
      <vt:variant>
        <vt:lpwstr/>
      </vt:variant>
      <vt:variant>
        <vt:lpwstr>_Toc115952560</vt:lpwstr>
      </vt:variant>
      <vt:variant>
        <vt:i4>1572916</vt:i4>
      </vt:variant>
      <vt:variant>
        <vt:i4>77</vt:i4>
      </vt:variant>
      <vt:variant>
        <vt:i4>0</vt:i4>
      </vt:variant>
      <vt:variant>
        <vt:i4>5</vt:i4>
      </vt:variant>
      <vt:variant>
        <vt:lpwstr/>
      </vt:variant>
      <vt:variant>
        <vt:lpwstr>_Toc115952559</vt:lpwstr>
      </vt:variant>
      <vt:variant>
        <vt:i4>1572916</vt:i4>
      </vt:variant>
      <vt:variant>
        <vt:i4>71</vt:i4>
      </vt:variant>
      <vt:variant>
        <vt:i4>0</vt:i4>
      </vt:variant>
      <vt:variant>
        <vt:i4>5</vt:i4>
      </vt:variant>
      <vt:variant>
        <vt:lpwstr/>
      </vt:variant>
      <vt:variant>
        <vt:lpwstr>_Toc115952558</vt:lpwstr>
      </vt:variant>
      <vt:variant>
        <vt:i4>1572916</vt:i4>
      </vt:variant>
      <vt:variant>
        <vt:i4>65</vt:i4>
      </vt:variant>
      <vt:variant>
        <vt:i4>0</vt:i4>
      </vt:variant>
      <vt:variant>
        <vt:i4>5</vt:i4>
      </vt:variant>
      <vt:variant>
        <vt:lpwstr/>
      </vt:variant>
      <vt:variant>
        <vt:lpwstr>_Toc115952557</vt:lpwstr>
      </vt:variant>
      <vt:variant>
        <vt:i4>1572916</vt:i4>
      </vt:variant>
      <vt:variant>
        <vt:i4>59</vt:i4>
      </vt:variant>
      <vt:variant>
        <vt:i4>0</vt:i4>
      </vt:variant>
      <vt:variant>
        <vt:i4>5</vt:i4>
      </vt:variant>
      <vt:variant>
        <vt:lpwstr/>
      </vt:variant>
      <vt:variant>
        <vt:lpwstr>_Toc115952556</vt:lpwstr>
      </vt:variant>
      <vt:variant>
        <vt:i4>1572916</vt:i4>
      </vt:variant>
      <vt:variant>
        <vt:i4>53</vt:i4>
      </vt:variant>
      <vt:variant>
        <vt:i4>0</vt:i4>
      </vt:variant>
      <vt:variant>
        <vt:i4>5</vt:i4>
      </vt:variant>
      <vt:variant>
        <vt:lpwstr/>
      </vt:variant>
      <vt:variant>
        <vt:lpwstr>_Toc115952555</vt:lpwstr>
      </vt:variant>
      <vt:variant>
        <vt:i4>1572916</vt:i4>
      </vt:variant>
      <vt:variant>
        <vt:i4>47</vt:i4>
      </vt:variant>
      <vt:variant>
        <vt:i4>0</vt:i4>
      </vt:variant>
      <vt:variant>
        <vt:i4>5</vt:i4>
      </vt:variant>
      <vt:variant>
        <vt:lpwstr/>
      </vt:variant>
      <vt:variant>
        <vt:lpwstr>_Toc115952554</vt:lpwstr>
      </vt:variant>
      <vt:variant>
        <vt:i4>1572916</vt:i4>
      </vt:variant>
      <vt:variant>
        <vt:i4>41</vt:i4>
      </vt:variant>
      <vt:variant>
        <vt:i4>0</vt:i4>
      </vt:variant>
      <vt:variant>
        <vt:i4>5</vt:i4>
      </vt:variant>
      <vt:variant>
        <vt:lpwstr/>
      </vt:variant>
      <vt:variant>
        <vt:lpwstr>_Toc115952553</vt:lpwstr>
      </vt:variant>
      <vt:variant>
        <vt:i4>1572916</vt:i4>
      </vt:variant>
      <vt:variant>
        <vt:i4>35</vt:i4>
      </vt:variant>
      <vt:variant>
        <vt:i4>0</vt:i4>
      </vt:variant>
      <vt:variant>
        <vt:i4>5</vt:i4>
      </vt:variant>
      <vt:variant>
        <vt:lpwstr/>
      </vt:variant>
      <vt:variant>
        <vt:lpwstr>_Toc115952552</vt:lpwstr>
      </vt:variant>
      <vt:variant>
        <vt:i4>1572916</vt:i4>
      </vt:variant>
      <vt:variant>
        <vt:i4>29</vt:i4>
      </vt:variant>
      <vt:variant>
        <vt:i4>0</vt:i4>
      </vt:variant>
      <vt:variant>
        <vt:i4>5</vt:i4>
      </vt:variant>
      <vt:variant>
        <vt:lpwstr/>
      </vt:variant>
      <vt:variant>
        <vt:lpwstr>_Toc115952551</vt:lpwstr>
      </vt:variant>
      <vt:variant>
        <vt:i4>1572916</vt:i4>
      </vt:variant>
      <vt:variant>
        <vt:i4>23</vt:i4>
      </vt:variant>
      <vt:variant>
        <vt:i4>0</vt:i4>
      </vt:variant>
      <vt:variant>
        <vt:i4>5</vt:i4>
      </vt:variant>
      <vt:variant>
        <vt:lpwstr/>
      </vt:variant>
      <vt:variant>
        <vt:lpwstr>_Toc115952550</vt:lpwstr>
      </vt:variant>
      <vt:variant>
        <vt:i4>1638452</vt:i4>
      </vt:variant>
      <vt:variant>
        <vt:i4>17</vt:i4>
      </vt:variant>
      <vt:variant>
        <vt:i4>0</vt:i4>
      </vt:variant>
      <vt:variant>
        <vt:i4>5</vt:i4>
      </vt:variant>
      <vt:variant>
        <vt:lpwstr/>
      </vt:variant>
      <vt:variant>
        <vt:lpwstr>_Toc115952549</vt:lpwstr>
      </vt:variant>
      <vt:variant>
        <vt:i4>1638452</vt:i4>
      </vt:variant>
      <vt:variant>
        <vt:i4>11</vt:i4>
      </vt:variant>
      <vt:variant>
        <vt:i4>0</vt:i4>
      </vt:variant>
      <vt:variant>
        <vt:i4>5</vt:i4>
      </vt:variant>
      <vt:variant>
        <vt:lpwstr/>
      </vt:variant>
      <vt:variant>
        <vt:lpwstr>_Toc115952548</vt:lpwstr>
      </vt:variant>
      <vt:variant>
        <vt:i4>262213</vt:i4>
      </vt:variant>
      <vt:variant>
        <vt:i4>6</vt:i4>
      </vt:variant>
      <vt:variant>
        <vt:i4>0</vt:i4>
      </vt:variant>
      <vt:variant>
        <vt:i4>5</vt:i4>
      </vt:variant>
      <vt:variant>
        <vt:lpwstr>https://cnt-nar.be/sites/default/files/documents/fr/avis-2314.pdf</vt:lpwstr>
      </vt:variant>
      <vt:variant>
        <vt:lpwstr/>
      </vt:variant>
      <vt:variant>
        <vt:i4>4456539</vt:i4>
      </vt:variant>
      <vt:variant>
        <vt:i4>3</vt:i4>
      </vt:variant>
      <vt:variant>
        <vt:i4>0</vt:i4>
      </vt:variant>
      <vt:variant>
        <vt:i4>5</vt:i4>
      </vt:variant>
      <vt:variant>
        <vt:lpwstr>https://eur-lex.europa.eu/legal-content/FR/TXT/PDF/?uri=CELEX:32019L1152&amp;from=FR</vt:lpwstr>
      </vt:variant>
      <vt:variant>
        <vt:lpwstr/>
      </vt:variant>
      <vt:variant>
        <vt:i4>7995504</vt:i4>
      </vt:variant>
      <vt:variant>
        <vt:i4>0</vt:i4>
      </vt:variant>
      <vt:variant>
        <vt:i4>0</vt:i4>
      </vt:variant>
      <vt:variant>
        <vt:i4>5</vt:i4>
      </vt:variant>
      <vt:variant>
        <vt:lpwstr>https://cnt-nar.be/sites/default/files/documents/fr/cct-161.pdf</vt:lpwstr>
      </vt:variant>
      <vt:variant>
        <vt:lpwstr/>
      </vt:variant>
      <vt:variant>
        <vt:i4>5767234</vt:i4>
      </vt:variant>
      <vt:variant>
        <vt:i4>0</vt:i4>
      </vt:variant>
      <vt:variant>
        <vt:i4>0</vt:i4>
      </vt:variant>
      <vt:variant>
        <vt:i4>5</vt:i4>
      </vt:variant>
      <vt:variant>
        <vt:lpwstr>https://www.lachambre.be/FLWB/PDF/55/2811/55K2811001.pdf</vt:lpwstr>
      </vt:variant>
      <vt:variant>
        <vt:lpwstr/>
      </vt:variant>
      <vt:variant>
        <vt:i4>8060977</vt:i4>
      </vt:variant>
      <vt:variant>
        <vt:i4>3</vt:i4>
      </vt:variant>
      <vt:variant>
        <vt:i4>0</vt:i4>
      </vt:variant>
      <vt:variant>
        <vt:i4>5</vt:i4>
      </vt:variant>
      <vt:variant>
        <vt:lpwstr>http://www.vbo-feb.be/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dc:creator>
  <cp:keywords/>
  <dc:description/>
  <cp:lastModifiedBy>Liliane Peeters</cp:lastModifiedBy>
  <cp:revision>4</cp:revision>
  <cp:lastPrinted>2022-10-06T09:21:00Z</cp:lastPrinted>
  <dcterms:created xsi:type="dcterms:W3CDTF">2022-10-06T13:23:00Z</dcterms:created>
  <dcterms:modified xsi:type="dcterms:W3CDTF">2022-10-06T13:25:00Z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0x0101005215A34420C777498D5F7B584A0C8C82002174A9C77EF44947994BDD3C8CBC9624</vt:lpwstr>
  </property>
</Properties>
</file>