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00" w:rsidRPr="00510E44" w:rsidRDefault="00510E44" w:rsidP="0053751F">
      <w:pPr>
        <w:ind w:left="-284"/>
        <w:rPr>
          <w:rFonts w:ascii="Calibri" w:hAnsi="Calibri" w:cs="Calibri"/>
          <w:b/>
          <w:sz w:val="28"/>
          <w:szCs w:val="28"/>
          <w:lang w:val="fr-FR"/>
        </w:rPr>
      </w:pPr>
      <w:bookmarkStart w:id="0" w:name="_GoBack"/>
      <w:bookmarkEnd w:id="0"/>
      <w:r w:rsidRPr="00510E44">
        <w:rPr>
          <w:rFonts w:ascii="Calibri" w:hAnsi="Calibri" w:cs="Calibri"/>
          <w:b/>
          <w:sz w:val="28"/>
          <w:szCs w:val="28"/>
          <w:lang w:val="fr-FR"/>
        </w:rPr>
        <w:t xml:space="preserve">Une “boite à outils” pour la </w:t>
      </w:r>
      <w:r w:rsidR="00890E4A" w:rsidRPr="00510E44">
        <w:rPr>
          <w:rFonts w:ascii="Calibri" w:hAnsi="Calibri" w:cs="Calibri"/>
          <w:b/>
          <w:sz w:val="28"/>
          <w:szCs w:val="28"/>
          <w:lang w:val="fr-FR"/>
        </w:rPr>
        <w:t>réduction</w:t>
      </w:r>
      <w:r w:rsidRPr="00510E44">
        <w:rPr>
          <w:rFonts w:ascii="Calibri" w:hAnsi="Calibri" w:cs="Calibri"/>
          <w:b/>
          <w:sz w:val="28"/>
          <w:szCs w:val="28"/>
          <w:lang w:val="fr-FR"/>
        </w:rPr>
        <w:t xml:space="preserve"> de l’acrylamide dans le pain</w:t>
      </w:r>
    </w:p>
    <w:p w:rsidR="00D22897" w:rsidRPr="005C2B91" w:rsidRDefault="00D22897" w:rsidP="00D22897">
      <w:pPr>
        <w:ind w:left="-360"/>
        <w:rPr>
          <w:rFonts w:asciiTheme="minorHAnsi" w:hAnsiTheme="minorHAnsi" w:cstheme="minorHAnsi"/>
          <w:b/>
          <w:lang w:val="fr-FR"/>
        </w:rPr>
      </w:pPr>
    </w:p>
    <w:p w:rsidR="00D22897" w:rsidRPr="005C2B91" w:rsidRDefault="00D22897" w:rsidP="00D22897">
      <w:pPr>
        <w:ind w:left="-360"/>
        <w:rPr>
          <w:rFonts w:asciiTheme="minorHAnsi" w:hAnsiTheme="minorHAnsi" w:cstheme="minorHAnsi"/>
          <w:b/>
          <w:lang w:val="fr-FR"/>
        </w:rPr>
      </w:pPr>
      <w:r w:rsidRPr="005C2B91">
        <w:rPr>
          <w:rFonts w:asciiTheme="minorHAnsi" w:hAnsiTheme="minorHAnsi" w:cstheme="minorHAnsi"/>
          <w:b/>
          <w:lang w:val="fr-FR"/>
        </w:rPr>
        <w:t>Acrylamide</w:t>
      </w:r>
    </w:p>
    <w:p w:rsidR="00D22897" w:rsidRPr="005C2B91" w:rsidRDefault="00510E44" w:rsidP="00D22897">
      <w:pPr>
        <w:ind w:left="-360"/>
        <w:jc w:val="both"/>
        <w:rPr>
          <w:rFonts w:asciiTheme="minorHAnsi" w:hAnsiTheme="minorHAnsi" w:cstheme="minorHAnsi"/>
          <w:lang w:val="fr-FR"/>
        </w:rPr>
      </w:pPr>
      <w:r w:rsidRPr="005C2B91">
        <w:rPr>
          <w:rFonts w:asciiTheme="minorHAnsi" w:hAnsiTheme="minorHAnsi" w:cstheme="minorHAnsi"/>
          <w:lang w:val="fr-FR"/>
        </w:rPr>
        <w:t>L’</w:t>
      </w:r>
      <w:r w:rsidR="00D22897" w:rsidRPr="005C2B91">
        <w:rPr>
          <w:rFonts w:asciiTheme="minorHAnsi" w:hAnsiTheme="minorHAnsi" w:cstheme="minorHAnsi"/>
          <w:lang w:val="fr-FR"/>
        </w:rPr>
        <w:t xml:space="preserve">Acrylamide </w:t>
      </w:r>
      <w:r w:rsidRPr="005C2B91">
        <w:rPr>
          <w:rFonts w:asciiTheme="minorHAnsi" w:hAnsiTheme="minorHAnsi" w:cstheme="minorHAnsi"/>
          <w:lang w:val="fr-FR"/>
        </w:rPr>
        <w:t xml:space="preserve">est une </w:t>
      </w:r>
      <w:r w:rsidR="00890E4A" w:rsidRPr="005C2B91">
        <w:rPr>
          <w:rFonts w:asciiTheme="minorHAnsi" w:hAnsiTheme="minorHAnsi" w:cstheme="minorHAnsi"/>
          <w:lang w:val="fr-FR"/>
        </w:rPr>
        <w:t>substance</w:t>
      </w:r>
      <w:r w:rsidRPr="005C2B91">
        <w:rPr>
          <w:rFonts w:asciiTheme="minorHAnsi" w:hAnsiTheme="minorHAnsi" w:cstheme="minorHAnsi"/>
          <w:lang w:val="fr-FR"/>
        </w:rPr>
        <w:t xml:space="preserve"> qui se trouve naturellement dans les produits ayant subi une cuisson à température </w:t>
      </w:r>
      <w:r w:rsidR="00890E4A" w:rsidRPr="005C2B91">
        <w:rPr>
          <w:rFonts w:asciiTheme="minorHAnsi" w:hAnsiTheme="minorHAnsi" w:cstheme="minorHAnsi"/>
          <w:lang w:val="fr-FR"/>
        </w:rPr>
        <w:t>élevée</w:t>
      </w:r>
      <w:r w:rsidRPr="005C2B91">
        <w:rPr>
          <w:rFonts w:asciiTheme="minorHAnsi" w:hAnsiTheme="minorHAnsi" w:cstheme="minorHAnsi"/>
          <w:lang w:val="fr-FR"/>
        </w:rPr>
        <w:t xml:space="preserve"> (par exemple cuisson au four, au grill ou en friture)</w:t>
      </w:r>
      <w:r w:rsidR="00D22897" w:rsidRPr="005C2B91">
        <w:rPr>
          <w:rFonts w:asciiTheme="minorHAnsi" w:hAnsiTheme="minorHAnsi" w:cstheme="minorHAnsi"/>
          <w:lang w:val="fr-FR"/>
        </w:rPr>
        <w:t xml:space="preserve">.  </w:t>
      </w:r>
      <w:r w:rsidRPr="005C2B91">
        <w:rPr>
          <w:rFonts w:asciiTheme="minorHAnsi" w:hAnsiTheme="minorHAnsi" w:cstheme="minorHAnsi"/>
          <w:lang w:val="fr-FR"/>
        </w:rPr>
        <w:t>L’</w:t>
      </w:r>
      <w:r w:rsidR="00D22897" w:rsidRPr="005C2B91">
        <w:rPr>
          <w:rFonts w:asciiTheme="minorHAnsi" w:hAnsiTheme="minorHAnsi" w:cstheme="minorHAnsi"/>
          <w:lang w:val="fr-FR"/>
        </w:rPr>
        <w:t xml:space="preserve">Acrylamide </w:t>
      </w:r>
      <w:r w:rsidRPr="005C2B91">
        <w:rPr>
          <w:rFonts w:asciiTheme="minorHAnsi" w:hAnsiTheme="minorHAnsi" w:cstheme="minorHAnsi"/>
          <w:lang w:val="fr-FR"/>
        </w:rPr>
        <w:t>peut être à l’origine de cancer chez les animaux et certains experts pensent que cela pourrait être également le cas chez les humains.</w:t>
      </w:r>
      <w:r w:rsidR="00D22897" w:rsidRPr="005C2B91">
        <w:rPr>
          <w:rFonts w:asciiTheme="minorHAnsi" w:hAnsiTheme="minorHAnsi" w:cstheme="minorHAnsi"/>
          <w:lang w:val="fr-FR"/>
        </w:rPr>
        <w:t xml:space="preserve"> </w:t>
      </w:r>
      <w:r w:rsidRPr="005C2B91">
        <w:rPr>
          <w:rFonts w:asciiTheme="minorHAnsi" w:hAnsiTheme="minorHAnsi" w:cstheme="minorHAnsi"/>
          <w:lang w:val="fr-FR"/>
        </w:rPr>
        <w:t>Bien que l’acrylamide existe probablement depuis l’invention du feu</w:t>
      </w:r>
      <w:r w:rsidR="00FA5F84" w:rsidRPr="005C2B91">
        <w:rPr>
          <w:rFonts w:asciiTheme="minorHAnsi" w:hAnsiTheme="minorHAnsi" w:cstheme="minorHAnsi"/>
          <w:lang w:val="fr-FR"/>
        </w:rPr>
        <w:t xml:space="preserve">, </w:t>
      </w:r>
      <w:r w:rsidRPr="005C2B91">
        <w:rPr>
          <w:rFonts w:asciiTheme="minorHAnsi" w:hAnsiTheme="minorHAnsi" w:cstheme="minorHAnsi"/>
          <w:lang w:val="fr-FR"/>
        </w:rPr>
        <w:t xml:space="preserve">plusieurs experts à travers le monde </w:t>
      </w:r>
      <w:r w:rsidR="00890E4A" w:rsidRPr="005C2B91">
        <w:rPr>
          <w:rFonts w:asciiTheme="minorHAnsi" w:hAnsiTheme="minorHAnsi" w:cstheme="minorHAnsi"/>
          <w:lang w:val="fr-FR"/>
        </w:rPr>
        <w:t>recommandent</w:t>
      </w:r>
      <w:r w:rsidRPr="005C2B91">
        <w:rPr>
          <w:rFonts w:asciiTheme="minorHAnsi" w:hAnsiTheme="minorHAnsi" w:cstheme="minorHAnsi"/>
          <w:lang w:val="fr-FR"/>
        </w:rPr>
        <w:t xml:space="preserve"> une baisse de la teneur en acrylamide des aliments, pour des raisons de santé publique.</w:t>
      </w:r>
    </w:p>
    <w:p w:rsidR="00D22897" w:rsidRPr="005C2B91" w:rsidRDefault="00D22897" w:rsidP="00D22897">
      <w:pPr>
        <w:ind w:left="-360"/>
        <w:jc w:val="both"/>
        <w:rPr>
          <w:rFonts w:asciiTheme="minorHAnsi" w:hAnsiTheme="minorHAnsi" w:cstheme="minorHAnsi"/>
          <w:lang w:val="fr-FR"/>
        </w:rPr>
      </w:pPr>
    </w:p>
    <w:p w:rsidR="00D22897" w:rsidRPr="005C2B91" w:rsidRDefault="00510E44" w:rsidP="00D22897">
      <w:pPr>
        <w:ind w:left="-360"/>
        <w:jc w:val="both"/>
        <w:rPr>
          <w:rFonts w:asciiTheme="minorHAnsi" w:hAnsiTheme="minorHAnsi" w:cstheme="minorHAnsi"/>
          <w:lang w:val="fr-FR"/>
        </w:rPr>
      </w:pPr>
      <w:r w:rsidRPr="005C2B91">
        <w:rPr>
          <w:rFonts w:asciiTheme="minorHAnsi" w:hAnsiTheme="minorHAnsi" w:cstheme="minorHAnsi"/>
          <w:lang w:val="fr-FR"/>
        </w:rPr>
        <w:t>L’acrylamide est présente dans un grand nombre de produits cuisin</w:t>
      </w:r>
      <w:r w:rsidR="00890E4A" w:rsidRPr="005C2B91">
        <w:rPr>
          <w:rFonts w:asciiTheme="minorHAnsi" w:hAnsiTheme="minorHAnsi" w:cstheme="minorHAnsi"/>
          <w:lang w:val="fr-FR"/>
        </w:rPr>
        <w:t>é</w:t>
      </w:r>
      <w:r w:rsidRPr="005C2B91">
        <w:rPr>
          <w:rFonts w:asciiTheme="minorHAnsi" w:hAnsiTheme="minorHAnsi" w:cstheme="minorHAnsi"/>
          <w:lang w:val="fr-FR"/>
        </w:rPr>
        <w:t>s, qu’ils soient préparés de façon industrielle</w:t>
      </w:r>
      <w:r w:rsidR="0053751F" w:rsidRPr="005C2B91">
        <w:rPr>
          <w:rFonts w:asciiTheme="minorHAnsi" w:hAnsiTheme="minorHAnsi" w:cstheme="minorHAnsi"/>
          <w:lang w:val="fr-FR"/>
        </w:rPr>
        <w:t>,</w:t>
      </w:r>
      <w:r w:rsidRPr="005C2B91">
        <w:rPr>
          <w:rFonts w:asciiTheme="minorHAnsi" w:hAnsiTheme="minorHAnsi" w:cstheme="minorHAnsi"/>
          <w:lang w:val="fr-FR"/>
        </w:rPr>
        <w:t xml:space="preserve"> artisanale ou </w:t>
      </w:r>
      <w:r w:rsidR="00890E4A" w:rsidRPr="005C2B91">
        <w:rPr>
          <w:rFonts w:asciiTheme="minorHAnsi" w:hAnsiTheme="minorHAnsi" w:cstheme="minorHAnsi"/>
          <w:lang w:val="fr-FR"/>
        </w:rPr>
        <w:t>cuisiné</w:t>
      </w:r>
      <w:r w:rsidRPr="005C2B91">
        <w:rPr>
          <w:rFonts w:asciiTheme="minorHAnsi" w:hAnsiTheme="minorHAnsi" w:cstheme="minorHAnsi"/>
          <w:lang w:val="fr-FR"/>
        </w:rPr>
        <w:t>s à la maison</w:t>
      </w:r>
      <w:r w:rsidR="00890E4A" w:rsidRPr="005C2B91">
        <w:rPr>
          <w:rFonts w:asciiTheme="minorHAnsi" w:hAnsiTheme="minorHAnsi" w:cstheme="minorHAnsi"/>
          <w:lang w:val="fr-FR"/>
        </w:rPr>
        <w:t xml:space="preserve">. On en trouve dans des produits aussi basiques que le pain, les pommes de terre ou des produits </w:t>
      </w:r>
      <w:r w:rsidR="0053751F" w:rsidRPr="005C2B91">
        <w:rPr>
          <w:rFonts w:asciiTheme="minorHAnsi" w:hAnsiTheme="minorHAnsi" w:cstheme="minorHAnsi"/>
          <w:lang w:val="fr-FR"/>
        </w:rPr>
        <w:t xml:space="preserve">consommés </w:t>
      </w:r>
      <w:r w:rsidR="00890E4A" w:rsidRPr="005C2B91">
        <w:rPr>
          <w:rFonts w:asciiTheme="minorHAnsi" w:hAnsiTheme="minorHAnsi" w:cstheme="minorHAnsi"/>
          <w:lang w:val="fr-FR"/>
        </w:rPr>
        <w:t>quotidien</w:t>
      </w:r>
      <w:r w:rsidR="0053751F" w:rsidRPr="005C2B91">
        <w:rPr>
          <w:rFonts w:asciiTheme="minorHAnsi" w:hAnsiTheme="minorHAnsi" w:cstheme="minorHAnsi"/>
          <w:lang w:val="fr-FR"/>
        </w:rPr>
        <w:t>nement</w:t>
      </w:r>
      <w:r w:rsidR="00890E4A" w:rsidRPr="005C2B91">
        <w:rPr>
          <w:rFonts w:asciiTheme="minorHAnsi" w:hAnsiTheme="minorHAnsi" w:cstheme="minorHAnsi"/>
          <w:lang w:val="fr-FR"/>
        </w:rPr>
        <w:t xml:space="preserve"> tels que les céréales, les biscuits, le café</w:t>
      </w:r>
      <w:r w:rsidR="00D22897" w:rsidRPr="005C2B91">
        <w:rPr>
          <w:rFonts w:asciiTheme="minorHAnsi" w:hAnsiTheme="minorHAnsi" w:cstheme="minorHAnsi"/>
          <w:lang w:val="fr-FR"/>
        </w:rPr>
        <w:t>.</w:t>
      </w:r>
    </w:p>
    <w:p w:rsidR="00D22897" w:rsidRPr="005C2B91" w:rsidRDefault="00D22897" w:rsidP="00D22897">
      <w:pPr>
        <w:ind w:left="-360"/>
        <w:jc w:val="both"/>
        <w:rPr>
          <w:rFonts w:asciiTheme="minorHAnsi" w:hAnsiTheme="minorHAnsi" w:cstheme="minorHAnsi"/>
          <w:lang w:val="fr-FR"/>
        </w:rPr>
      </w:pPr>
    </w:p>
    <w:p w:rsidR="00D22897" w:rsidRPr="005C2B91" w:rsidRDefault="00890E4A" w:rsidP="00D22897">
      <w:pPr>
        <w:tabs>
          <w:tab w:val="num" w:pos="720"/>
        </w:tabs>
        <w:ind w:left="-360"/>
        <w:jc w:val="both"/>
        <w:rPr>
          <w:rFonts w:asciiTheme="minorHAnsi" w:hAnsiTheme="minorHAnsi" w:cstheme="minorHAnsi"/>
          <w:b/>
          <w:lang w:val="fr-FR"/>
        </w:rPr>
      </w:pPr>
      <w:r w:rsidRPr="005C2B91">
        <w:rPr>
          <w:rFonts w:asciiTheme="minorHAnsi" w:hAnsiTheme="minorHAnsi" w:cstheme="minorHAnsi"/>
          <w:b/>
          <w:lang w:val="fr-FR"/>
        </w:rPr>
        <w:t>La boite à outils proposée par FoodDrinkEurope</w:t>
      </w:r>
    </w:p>
    <w:p w:rsidR="00D22897" w:rsidRPr="005C2B91" w:rsidRDefault="00890E4A" w:rsidP="00D22897">
      <w:pPr>
        <w:tabs>
          <w:tab w:val="num" w:pos="720"/>
        </w:tabs>
        <w:ind w:left="-360"/>
        <w:jc w:val="both"/>
        <w:rPr>
          <w:rFonts w:asciiTheme="minorHAnsi" w:hAnsiTheme="minorHAnsi" w:cstheme="minorHAnsi"/>
          <w:lang w:val="fr-FR"/>
        </w:rPr>
      </w:pPr>
      <w:r w:rsidRPr="005C2B91">
        <w:rPr>
          <w:rFonts w:asciiTheme="minorHAnsi" w:hAnsiTheme="minorHAnsi" w:cstheme="minorHAnsi"/>
          <w:lang w:val="fr-FR"/>
        </w:rPr>
        <w:t xml:space="preserve">Dès la </w:t>
      </w:r>
      <w:r w:rsidR="00CF3A77" w:rsidRPr="005C2B91">
        <w:rPr>
          <w:rFonts w:asciiTheme="minorHAnsi" w:hAnsiTheme="minorHAnsi" w:cstheme="minorHAnsi"/>
          <w:lang w:val="fr-FR"/>
        </w:rPr>
        <w:t>mise en évidence</w:t>
      </w:r>
      <w:r w:rsidRPr="005C2B91">
        <w:rPr>
          <w:rFonts w:asciiTheme="minorHAnsi" w:hAnsiTheme="minorHAnsi" w:cstheme="minorHAnsi"/>
          <w:lang w:val="fr-FR"/>
        </w:rPr>
        <w:t xml:space="preserve"> de l’acrylamide dans le</w:t>
      </w:r>
      <w:r w:rsidR="00BF1A72" w:rsidRPr="005C2B91">
        <w:rPr>
          <w:rFonts w:asciiTheme="minorHAnsi" w:hAnsiTheme="minorHAnsi" w:cstheme="minorHAnsi"/>
          <w:lang w:val="fr-FR"/>
        </w:rPr>
        <w:t>s</w:t>
      </w:r>
      <w:r w:rsidRPr="005C2B91">
        <w:rPr>
          <w:rFonts w:asciiTheme="minorHAnsi" w:hAnsiTheme="minorHAnsi" w:cstheme="minorHAnsi"/>
          <w:lang w:val="fr-FR"/>
        </w:rPr>
        <w:t xml:space="preserve"> </w:t>
      </w:r>
      <w:r w:rsidR="00BF1A72" w:rsidRPr="005C2B91">
        <w:rPr>
          <w:rFonts w:asciiTheme="minorHAnsi" w:hAnsiTheme="minorHAnsi" w:cstheme="minorHAnsi"/>
          <w:lang w:val="fr-FR"/>
        </w:rPr>
        <w:t>aliments</w:t>
      </w:r>
      <w:r w:rsidR="00D22897" w:rsidRPr="005C2B91">
        <w:rPr>
          <w:rFonts w:asciiTheme="minorHAnsi" w:hAnsiTheme="minorHAnsi" w:cstheme="minorHAnsi"/>
          <w:lang w:val="fr-FR"/>
        </w:rPr>
        <w:t xml:space="preserve">, </w:t>
      </w:r>
      <w:r w:rsidR="00CF3A77" w:rsidRPr="005C2B91">
        <w:rPr>
          <w:rFonts w:asciiTheme="minorHAnsi" w:hAnsiTheme="minorHAnsi" w:cstheme="minorHAnsi"/>
          <w:lang w:val="fr-FR"/>
        </w:rPr>
        <w:t xml:space="preserve">l’industrie et en </w:t>
      </w:r>
      <w:r w:rsidR="00092FCC" w:rsidRPr="005C2B91">
        <w:rPr>
          <w:rFonts w:asciiTheme="minorHAnsi" w:hAnsiTheme="minorHAnsi" w:cstheme="minorHAnsi"/>
          <w:lang w:val="fr-FR"/>
        </w:rPr>
        <w:t>général</w:t>
      </w:r>
      <w:r w:rsidR="00CF3A77" w:rsidRPr="005C2B91">
        <w:rPr>
          <w:rFonts w:asciiTheme="minorHAnsi" w:hAnsiTheme="minorHAnsi" w:cstheme="minorHAnsi"/>
          <w:lang w:val="fr-FR"/>
        </w:rPr>
        <w:t xml:space="preserve"> tous les acteurs concernés, y compris les organismes de contrôle, ont cherché à comprendre les circonstances d’apparition de l’acrylamide et à mettre au point une méthode fiable de réduction</w:t>
      </w:r>
      <w:r w:rsidR="00D22897" w:rsidRPr="005C2B91">
        <w:rPr>
          <w:rFonts w:asciiTheme="minorHAnsi" w:hAnsiTheme="minorHAnsi" w:cstheme="minorHAnsi"/>
          <w:lang w:val="fr-FR"/>
        </w:rPr>
        <w:t xml:space="preserve"> </w:t>
      </w:r>
      <w:r w:rsidR="00CF3A77" w:rsidRPr="005C2B91">
        <w:rPr>
          <w:rFonts w:asciiTheme="minorHAnsi" w:hAnsiTheme="minorHAnsi" w:cstheme="minorHAnsi"/>
          <w:lang w:val="fr-FR"/>
        </w:rPr>
        <w:t xml:space="preserve">du taux d’acrylamide dans les </w:t>
      </w:r>
      <w:r w:rsidR="00092FCC" w:rsidRPr="005C2B91">
        <w:rPr>
          <w:rFonts w:asciiTheme="minorHAnsi" w:hAnsiTheme="minorHAnsi" w:cstheme="minorHAnsi"/>
          <w:lang w:val="fr-FR"/>
        </w:rPr>
        <w:t>aliments</w:t>
      </w:r>
      <w:r w:rsidR="00CF3A77" w:rsidRPr="005C2B91">
        <w:rPr>
          <w:rFonts w:asciiTheme="minorHAnsi" w:hAnsiTheme="minorHAnsi" w:cstheme="minorHAnsi"/>
          <w:lang w:val="fr-FR"/>
        </w:rPr>
        <w:t>, en utilisant le principe de « ALARA »</w:t>
      </w:r>
      <w:r w:rsidR="00D22897" w:rsidRPr="005C2B91">
        <w:rPr>
          <w:rFonts w:asciiTheme="minorHAnsi" w:hAnsiTheme="minorHAnsi" w:cstheme="minorHAnsi"/>
          <w:lang w:val="fr-FR"/>
        </w:rPr>
        <w:t xml:space="preserve">. FoodDrinkEurope </w:t>
      </w:r>
      <w:r w:rsidR="00CF3A77" w:rsidRPr="005C2B91">
        <w:rPr>
          <w:rFonts w:asciiTheme="minorHAnsi" w:hAnsiTheme="minorHAnsi" w:cstheme="minorHAnsi"/>
          <w:lang w:val="fr-FR"/>
        </w:rPr>
        <w:t xml:space="preserve">a coordonné les recherches </w:t>
      </w:r>
      <w:r w:rsidR="00CF3A77" w:rsidRPr="005C2B91">
        <w:rPr>
          <w:rFonts w:asciiTheme="minorHAnsi" w:hAnsiTheme="minorHAnsi" w:cstheme="minorHAnsi"/>
          <w:lang w:val="fr-FR"/>
        </w:rPr>
        <w:lastRenderedPageBreak/>
        <w:t xml:space="preserve">et </w:t>
      </w:r>
      <w:r w:rsidR="0053751F" w:rsidRPr="005C2B91">
        <w:rPr>
          <w:rFonts w:asciiTheme="minorHAnsi" w:hAnsiTheme="minorHAnsi" w:cstheme="minorHAnsi"/>
          <w:lang w:val="fr-FR"/>
        </w:rPr>
        <w:t>créé</w:t>
      </w:r>
      <w:r w:rsidR="00CF3A77" w:rsidRPr="005C2B91">
        <w:rPr>
          <w:rFonts w:asciiTheme="minorHAnsi" w:hAnsiTheme="minorHAnsi" w:cstheme="minorHAnsi"/>
          <w:lang w:val="fr-FR"/>
        </w:rPr>
        <w:t xml:space="preserve"> la « boite à outils »</w:t>
      </w:r>
      <w:r w:rsidR="0053751F" w:rsidRPr="005C2B91">
        <w:rPr>
          <w:rFonts w:asciiTheme="minorHAnsi" w:hAnsiTheme="minorHAnsi" w:cstheme="minorHAnsi"/>
          <w:lang w:val="fr-FR"/>
        </w:rPr>
        <w:t xml:space="preserve"> à partir des différents résultats</w:t>
      </w:r>
      <w:r w:rsidR="00D22897" w:rsidRPr="005C2B91">
        <w:rPr>
          <w:rFonts w:asciiTheme="minorHAnsi" w:hAnsiTheme="minorHAnsi" w:cstheme="minorHAnsi"/>
          <w:lang w:val="fr-FR"/>
        </w:rPr>
        <w:t>.</w:t>
      </w:r>
    </w:p>
    <w:p w:rsidR="000C1135" w:rsidRPr="005C2B91" w:rsidRDefault="000C1135" w:rsidP="005C2B91">
      <w:pPr>
        <w:tabs>
          <w:tab w:val="num" w:pos="720"/>
        </w:tabs>
        <w:ind w:left="-360"/>
        <w:jc w:val="both"/>
        <w:rPr>
          <w:rFonts w:asciiTheme="minorHAnsi" w:hAnsiTheme="minorHAnsi" w:cstheme="minorHAnsi"/>
          <w:b/>
          <w:lang w:val="fr-FR"/>
        </w:rPr>
      </w:pPr>
    </w:p>
    <w:p w:rsidR="00D22897" w:rsidRPr="005C2B91" w:rsidRDefault="00CF3A77" w:rsidP="00D22897">
      <w:pPr>
        <w:ind w:left="-360"/>
        <w:jc w:val="both"/>
        <w:rPr>
          <w:rFonts w:asciiTheme="minorHAnsi" w:hAnsiTheme="minorHAnsi" w:cstheme="minorHAnsi"/>
          <w:b/>
          <w:lang w:val="fr-FR"/>
        </w:rPr>
      </w:pPr>
      <w:r w:rsidRPr="005C2B91">
        <w:rPr>
          <w:rFonts w:asciiTheme="minorHAnsi" w:hAnsiTheme="minorHAnsi" w:cstheme="minorHAnsi"/>
          <w:b/>
          <w:lang w:val="fr-FR"/>
        </w:rPr>
        <w:t>A quoi sert la “boite à outils”</w:t>
      </w:r>
      <w:r w:rsidR="00D22897" w:rsidRPr="005C2B91">
        <w:rPr>
          <w:rFonts w:asciiTheme="minorHAnsi" w:hAnsiTheme="minorHAnsi" w:cstheme="minorHAnsi"/>
          <w:b/>
          <w:lang w:val="fr-FR"/>
        </w:rPr>
        <w:t>?</w:t>
      </w:r>
    </w:p>
    <w:p w:rsidR="00D22897" w:rsidRPr="005C2B91" w:rsidRDefault="00CF3A77" w:rsidP="00D22897">
      <w:pPr>
        <w:numPr>
          <w:ilvl w:val="0"/>
          <w:numId w:val="13"/>
        </w:numPr>
        <w:ind w:left="0" w:hanging="284"/>
        <w:jc w:val="both"/>
        <w:rPr>
          <w:rFonts w:asciiTheme="minorHAnsi" w:hAnsiTheme="minorHAnsi" w:cstheme="minorHAnsi"/>
          <w:lang w:val="fr-FR"/>
        </w:rPr>
      </w:pPr>
      <w:r w:rsidRPr="005C2B91">
        <w:rPr>
          <w:rFonts w:asciiTheme="minorHAnsi" w:hAnsiTheme="minorHAnsi" w:cstheme="minorHAnsi"/>
          <w:lang w:val="fr-FR"/>
        </w:rPr>
        <w:t>Elle décrit en détail les différentes méthodes connues aujourd’hui pour réduire le taux d’acrylamide dans les aliments</w:t>
      </w:r>
      <w:r w:rsidR="0053751F" w:rsidRPr="005C2B91">
        <w:rPr>
          <w:rFonts w:asciiTheme="minorHAnsi" w:hAnsiTheme="minorHAnsi" w:cstheme="minorHAnsi"/>
          <w:lang w:val="fr-FR"/>
        </w:rPr>
        <w:t>.</w:t>
      </w:r>
    </w:p>
    <w:p w:rsidR="00D22897" w:rsidRPr="005C2B91" w:rsidRDefault="00CF3A77" w:rsidP="00D22897">
      <w:pPr>
        <w:numPr>
          <w:ilvl w:val="0"/>
          <w:numId w:val="13"/>
        </w:numPr>
        <w:ind w:left="0" w:hanging="284"/>
        <w:jc w:val="both"/>
        <w:rPr>
          <w:rFonts w:asciiTheme="minorHAnsi" w:hAnsiTheme="minorHAnsi" w:cstheme="minorHAnsi"/>
          <w:lang w:val="fr-FR"/>
        </w:rPr>
      </w:pPr>
      <w:r w:rsidRPr="005C2B91">
        <w:rPr>
          <w:rFonts w:asciiTheme="minorHAnsi" w:hAnsiTheme="minorHAnsi" w:cstheme="minorHAnsi"/>
          <w:lang w:val="fr-FR"/>
        </w:rPr>
        <w:t>Elle permet aux utilisateurs de choisir une méthode d’évaluation appropriée</w:t>
      </w:r>
      <w:r w:rsidR="0053751F" w:rsidRPr="005C2B91">
        <w:rPr>
          <w:rFonts w:asciiTheme="minorHAnsi" w:hAnsiTheme="minorHAnsi" w:cstheme="minorHAnsi"/>
          <w:lang w:val="fr-FR"/>
        </w:rPr>
        <w:t>.</w:t>
      </w:r>
    </w:p>
    <w:p w:rsidR="00D22897" w:rsidRPr="005C2B91" w:rsidRDefault="00D22897" w:rsidP="00D22897">
      <w:pPr>
        <w:tabs>
          <w:tab w:val="num" w:pos="720"/>
        </w:tabs>
        <w:ind w:left="-360"/>
        <w:jc w:val="both"/>
        <w:rPr>
          <w:rFonts w:asciiTheme="minorHAnsi" w:hAnsiTheme="minorHAnsi" w:cstheme="minorHAnsi"/>
          <w:b/>
          <w:lang w:val="fr-FR"/>
        </w:rPr>
      </w:pPr>
    </w:p>
    <w:p w:rsidR="00D22897" w:rsidRPr="00DE0AAD" w:rsidRDefault="00D22897" w:rsidP="00D22897">
      <w:pPr>
        <w:ind w:left="-360"/>
        <w:rPr>
          <w:rFonts w:asciiTheme="minorHAnsi" w:hAnsiTheme="minorHAnsi" w:cstheme="minorHAnsi"/>
          <w:b/>
          <w:lang w:val="fr-FR"/>
        </w:rPr>
      </w:pPr>
      <w:r w:rsidRPr="00DE0AAD">
        <w:rPr>
          <w:rFonts w:asciiTheme="minorHAnsi" w:hAnsiTheme="minorHAnsi" w:cstheme="minorHAnsi"/>
          <w:b/>
          <w:lang w:val="fr-FR"/>
        </w:rPr>
        <w:t>ALARA</w:t>
      </w:r>
      <w:r w:rsidR="00EC5AD7" w:rsidRPr="00DE0AAD">
        <w:rPr>
          <w:rFonts w:asciiTheme="minorHAnsi" w:hAnsiTheme="minorHAnsi" w:cstheme="minorHAnsi"/>
          <w:b/>
          <w:lang w:val="fr-FR"/>
        </w:rPr>
        <w:t xml:space="preserve"> </w:t>
      </w:r>
    </w:p>
    <w:p w:rsidR="00216FE7" w:rsidRPr="005C2B91" w:rsidRDefault="008A733F" w:rsidP="00216FE7">
      <w:pPr>
        <w:ind w:left="-360"/>
        <w:jc w:val="both"/>
        <w:rPr>
          <w:rFonts w:asciiTheme="minorHAnsi" w:hAnsiTheme="minorHAnsi" w:cstheme="minorHAnsi"/>
          <w:lang w:val="fr-FR"/>
        </w:rPr>
      </w:pPr>
      <w:r w:rsidRPr="005C2B91">
        <w:rPr>
          <w:rFonts w:asciiTheme="minorHAnsi" w:hAnsiTheme="minorHAnsi" w:cstheme="minorHAnsi"/>
          <w:lang w:val="fr-FR"/>
        </w:rPr>
        <w:t>ALARA est l’acronyme pour le concept  “As Low As Reasonably Achievable” (i.e. « Aussi bas que raisonnablement possible »). Cela signifie simplement qu’un exploitant du secteur alimentaire prend les mesures appropriées pour réduire la présence d'un contaminant donné à un niveau minimum dans un produit fini. Il le fait tout en tenant compte du risque qu’il présente, mais aussi en prenant en compte d’autres considérations légitimes, telles que les risques potentiels liés à d'autres contaminants, les propriétés organoleptiques et la qualité du produit fini, ainsi que la faisabilité et l'efficacité des contrôles.</w:t>
      </w:r>
    </w:p>
    <w:p w:rsidR="008A733F" w:rsidRPr="005C2B91" w:rsidRDefault="008A733F" w:rsidP="00216FE7">
      <w:pPr>
        <w:ind w:left="-360"/>
        <w:jc w:val="both"/>
        <w:rPr>
          <w:rFonts w:asciiTheme="minorHAnsi" w:hAnsiTheme="minorHAnsi" w:cstheme="minorHAnsi"/>
          <w:lang w:val="fr-FR"/>
        </w:rPr>
      </w:pPr>
      <w:r w:rsidRPr="005C2B91">
        <w:rPr>
          <w:rFonts w:asciiTheme="minorHAnsi" w:hAnsiTheme="minorHAnsi" w:cstheme="minorHAnsi"/>
          <w:lang w:val="fr-FR"/>
        </w:rPr>
        <w:t xml:space="preserve"> </w:t>
      </w:r>
    </w:p>
    <w:p w:rsidR="00D22897" w:rsidRPr="005C2B91" w:rsidRDefault="008A733F" w:rsidP="008A733F">
      <w:pPr>
        <w:ind w:left="-360"/>
        <w:jc w:val="both"/>
        <w:rPr>
          <w:rFonts w:asciiTheme="minorHAnsi" w:hAnsiTheme="minorHAnsi" w:cstheme="minorHAnsi"/>
          <w:lang w:val="fr-FR"/>
        </w:rPr>
      </w:pPr>
      <w:r w:rsidRPr="005C2B91">
        <w:rPr>
          <w:rFonts w:asciiTheme="minorHAnsi" w:hAnsiTheme="minorHAnsi" w:cstheme="minorHAnsi"/>
          <w:lang w:val="fr-FR"/>
        </w:rPr>
        <w:t xml:space="preserve">Pour garantir une conformité permanente avec le concept ALARA l’exploitant du secteur alimentaire surveille l'efficacité des mesures qu’il a mises en œuvre et les passe en revue le cas échéant. </w:t>
      </w:r>
    </w:p>
    <w:p w:rsidR="001D019F" w:rsidRDefault="001D019F" w:rsidP="009631AF">
      <w:pPr>
        <w:tabs>
          <w:tab w:val="num" w:pos="720"/>
        </w:tabs>
        <w:ind w:left="-360"/>
        <w:jc w:val="both"/>
        <w:rPr>
          <w:rFonts w:asciiTheme="minorHAnsi" w:hAnsiTheme="minorHAnsi" w:cstheme="minorHAnsi"/>
          <w:b/>
          <w:lang w:val="fr-FR"/>
        </w:rPr>
      </w:pPr>
    </w:p>
    <w:p w:rsidR="005C2B91" w:rsidRDefault="005C2B91" w:rsidP="009631AF">
      <w:pPr>
        <w:tabs>
          <w:tab w:val="num" w:pos="720"/>
        </w:tabs>
        <w:ind w:left="-360"/>
        <w:jc w:val="both"/>
        <w:rPr>
          <w:rFonts w:asciiTheme="minorHAnsi" w:hAnsiTheme="minorHAnsi" w:cstheme="minorHAnsi"/>
          <w:b/>
          <w:lang w:val="fr-FR"/>
        </w:rPr>
      </w:pPr>
    </w:p>
    <w:p w:rsidR="005C2B91" w:rsidRDefault="005C2B91" w:rsidP="009631AF">
      <w:pPr>
        <w:tabs>
          <w:tab w:val="num" w:pos="720"/>
        </w:tabs>
        <w:ind w:left="-360"/>
        <w:jc w:val="both"/>
        <w:rPr>
          <w:rFonts w:asciiTheme="minorHAnsi" w:hAnsiTheme="minorHAnsi" w:cstheme="minorHAnsi"/>
          <w:b/>
          <w:lang w:val="fr-FR"/>
        </w:rPr>
      </w:pPr>
    </w:p>
    <w:p w:rsidR="005C2B91" w:rsidRPr="005C2B91" w:rsidRDefault="005C2B91" w:rsidP="009631AF">
      <w:pPr>
        <w:tabs>
          <w:tab w:val="num" w:pos="720"/>
        </w:tabs>
        <w:ind w:left="-360"/>
        <w:jc w:val="both"/>
        <w:rPr>
          <w:rFonts w:asciiTheme="minorHAnsi" w:hAnsiTheme="minorHAnsi" w:cstheme="minorHAnsi"/>
          <w:b/>
          <w:lang w:val="fr-FR"/>
        </w:rPr>
      </w:pPr>
    </w:p>
    <w:p w:rsidR="009631AF" w:rsidRPr="005C2B91" w:rsidRDefault="00092FCC" w:rsidP="009631AF">
      <w:pPr>
        <w:tabs>
          <w:tab w:val="num" w:pos="720"/>
        </w:tabs>
        <w:ind w:left="-360"/>
        <w:jc w:val="both"/>
        <w:rPr>
          <w:rFonts w:asciiTheme="minorHAnsi" w:hAnsiTheme="minorHAnsi" w:cstheme="minorHAnsi"/>
          <w:b/>
        </w:rPr>
      </w:pPr>
      <w:r w:rsidRPr="005C2B91">
        <w:rPr>
          <w:rFonts w:asciiTheme="minorHAnsi" w:hAnsiTheme="minorHAnsi" w:cstheme="minorHAnsi"/>
          <w:b/>
        </w:rPr>
        <w:lastRenderedPageBreak/>
        <w:t xml:space="preserve">Que faire </w:t>
      </w:r>
      <w:r w:rsidR="009631AF" w:rsidRPr="005C2B91">
        <w:rPr>
          <w:rFonts w:asciiTheme="minorHAnsi" w:hAnsiTheme="minorHAnsi" w:cstheme="minorHAnsi"/>
          <w:b/>
        </w:rPr>
        <w:t>?</w:t>
      </w:r>
    </w:p>
    <w:p w:rsidR="009631AF" w:rsidRPr="005C2B91" w:rsidRDefault="00092FCC" w:rsidP="009631AF">
      <w:pPr>
        <w:numPr>
          <w:ilvl w:val="0"/>
          <w:numId w:val="13"/>
        </w:numPr>
        <w:ind w:left="0" w:hanging="284"/>
        <w:jc w:val="both"/>
        <w:rPr>
          <w:rFonts w:asciiTheme="minorHAnsi" w:hAnsiTheme="minorHAnsi" w:cstheme="minorHAnsi"/>
          <w:lang w:val="fr-FR"/>
        </w:rPr>
      </w:pPr>
      <w:r w:rsidRPr="005C2B91">
        <w:rPr>
          <w:rFonts w:asciiTheme="minorHAnsi" w:hAnsiTheme="minorHAnsi" w:cstheme="minorHAnsi"/>
          <w:lang w:val="fr-FR"/>
        </w:rPr>
        <w:t>Identifier les diverses méthodes de réduction du taux d’acrylamide à l’aide de la brochure</w:t>
      </w:r>
    </w:p>
    <w:p w:rsidR="009631AF" w:rsidRPr="005C2B91" w:rsidRDefault="00092FCC" w:rsidP="009631AF">
      <w:pPr>
        <w:numPr>
          <w:ilvl w:val="0"/>
          <w:numId w:val="13"/>
        </w:numPr>
        <w:ind w:left="0" w:hanging="284"/>
        <w:jc w:val="both"/>
        <w:rPr>
          <w:rFonts w:asciiTheme="minorHAnsi" w:hAnsiTheme="minorHAnsi" w:cstheme="minorHAnsi"/>
          <w:lang w:val="fr-FR"/>
        </w:rPr>
      </w:pPr>
      <w:r w:rsidRPr="005C2B91">
        <w:rPr>
          <w:rFonts w:asciiTheme="minorHAnsi" w:hAnsiTheme="minorHAnsi" w:cstheme="minorHAnsi"/>
          <w:lang w:val="fr-FR"/>
        </w:rPr>
        <w:t>Sélectionner les méthodes les plus appropriées au process de fabrication</w:t>
      </w:r>
    </w:p>
    <w:p w:rsidR="009631AF" w:rsidRPr="005C2B91" w:rsidRDefault="00092FCC" w:rsidP="009631AF">
      <w:pPr>
        <w:numPr>
          <w:ilvl w:val="0"/>
          <w:numId w:val="13"/>
        </w:numPr>
        <w:ind w:left="0" w:hanging="284"/>
        <w:jc w:val="both"/>
        <w:rPr>
          <w:rFonts w:asciiTheme="minorHAnsi" w:hAnsiTheme="minorHAnsi" w:cstheme="minorHAnsi"/>
          <w:lang w:val="fr-FR"/>
        </w:rPr>
      </w:pPr>
      <w:r w:rsidRPr="005C2B91">
        <w:rPr>
          <w:rFonts w:asciiTheme="minorHAnsi" w:hAnsiTheme="minorHAnsi" w:cstheme="minorHAnsi"/>
          <w:lang w:val="fr-FR"/>
        </w:rPr>
        <w:t>Pour cela, il est nécessaire de tenir compte des méthodes de production, des recettes, du standard de qualité de l’entreprise, ainsi que de la règlementation nationale</w:t>
      </w:r>
      <w:r w:rsidR="009631AF" w:rsidRPr="005C2B91">
        <w:rPr>
          <w:rFonts w:asciiTheme="minorHAnsi" w:hAnsiTheme="minorHAnsi" w:cstheme="minorHAnsi"/>
          <w:lang w:val="fr-FR"/>
        </w:rPr>
        <w:t>.</w:t>
      </w:r>
    </w:p>
    <w:p w:rsidR="00B20226" w:rsidRPr="005C2B91" w:rsidRDefault="00B20226" w:rsidP="00D22897">
      <w:pPr>
        <w:tabs>
          <w:tab w:val="num" w:pos="720"/>
        </w:tabs>
        <w:ind w:left="-360"/>
        <w:jc w:val="both"/>
        <w:rPr>
          <w:rFonts w:asciiTheme="minorHAnsi" w:hAnsiTheme="minorHAnsi" w:cstheme="minorHAnsi"/>
          <w:b/>
          <w:lang w:val="fr-FR"/>
        </w:rPr>
      </w:pPr>
    </w:p>
    <w:p w:rsidR="00D22897" w:rsidRPr="005C2B91" w:rsidRDefault="00092FCC" w:rsidP="00D22897">
      <w:pPr>
        <w:tabs>
          <w:tab w:val="num" w:pos="720"/>
        </w:tabs>
        <w:ind w:left="-360"/>
        <w:jc w:val="both"/>
        <w:rPr>
          <w:rFonts w:asciiTheme="minorHAnsi" w:hAnsiTheme="minorHAnsi" w:cstheme="minorHAnsi"/>
          <w:b/>
          <w:lang w:val="fr-FR"/>
        </w:rPr>
      </w:pPr>
      <w:r w:rsidRPr="005C2B91">
        <w:rPr>
          <w:rFonts w:asciiTheme="minorHAnsi" w:hAnsiTheme="minorHAnsi" w:cstheme="minorHAnsi"/>
          <w:b/>
          <w:lang w:val="fr-FR"/>
        </w:rPr>
        <w:t>L’acrylamide dans le</w:t>
      </w:r>
      <w:r w:rsidR="00466E74" w:rsidRPr="005C2B91">
        <w:rPr>
          <w:rFonts w:asciiTheme="minorHAnsi" w:hAnsiTheme="minorHAnsi" w:cstheme="minorHAnsi"/>
          <w:b/>
          <w:lang w:val="fr-FR"/>
        </w:rPr>
        <w:t>s produits de boulangerie fine</w:t>
      </w:r>
    </w:p>
    <w:p w:rsidR="001D019F" w:rsidRPr="005C2B91" w:rsidRDefault="00092FCC" w:rsidP="00D22897">
      <w:pPr>
        <w:tabs>
          <w:tab w:val="num" w:pos="720"/>
        </w:tabs>
        <w:ind w:left="-360"/>
        <w:jc w:val="both"/>
        <w:rPr>
          <w:rFonts w:asciiTheme="minorHAnsi" w:hAnsiTheme="minorHAnsi" w:cstheme="minorHAnsi"/>
          <w:spacing w:val="8"/>
          <w:lang w:val="fr-FR"/>
        </w:rPr>
      </w:pPr>
      <w:r w:rsidRPr="005C2B91">
        <w:rPr>
          <w:rFonts w:asciiTheme="minorHAnsi" w:hAnsiTheme="minorHAnsi" w:cstheme="minorHAnsi"/>
          <w:lang w:val="fr-FR"/>
        </w:rPr>
        <w:t>La brochure est adaptée aux fabricants de produits de boulangerie</w:t>
      </w:r>
      <w:r w:rsidR="00466E74" w:rsidRPr="005C2B91">
        <w:rPr>
          <w:rFonts w:asciiTheme="minorHAnsi" w:hAnsiTheme="minorHAnsi" w:cstheme="minorHAnsi"/>
          <w:lang w:val="fr-FR"/>
        </w:rPr>
        <w:t xml:space="preserve"> fine</w:t>
      </w:r>
      <w:r w:rsidR="00D22897" w:rsidRPr="005C2B91">
        <w:rPr>
          <w:rFonts w:asciiTheme="minorHAnsi" w:hAnsiTheme="minorHAnsi" w:cstheme="minorHAnsi"/>
          <w:lang w:val="fr-FR"/>
        </w:rPr>
        <w:t xml:space="preserve">. </w:t>
      </w:r>
      <w:r w:rsidRPr="005C2B91">
        <w:rPr>
          <w:rFonts w:asciiTheme="minorHAnsi" w:hAnsiTheme="minorHAnsi" w:cstheme="minorHAnsi"/>
          <w:lang w:val="fr-FR"/>
        </w:rPr>
        <w:t>Pour plus d’informations, contacter l’AIBI</w:t>
      </w:r>
      <w:r w:rsidR="00A76A86" w:rsidRPr="005C2B91">
        <w:rPr>
          <w:rFonts w:asciiTheme="minorHAnsi" w:hAnsiTheme="minorHAnsi" w:cstheme="minorHAnsi"/>
          <w:lang w:val="fr-FR"/>
        </w:rPr>
        <w:t xml:space="preserve"> aisbl</w:t>
      </w:r>
      <w:r w:rsidR="003A5C1A" w:rsidRPr="005C2B91">
        <w:rPr>
          <w:rFonts w:asciiTheme="minorHAnsi" w:hAnsiTheme="minorHAnsi" w:cstheme="minorHAnsi"/>
          <w:lang w:val="fr-FR"/>
        </w:rPr>
        <w:t xml:space="preserve"> </w:t>
      </w:r>
      <w:r w:rsidR="00A76A86" w:rsidRPr="005C2B91">
        <w:rPr>
          <w:rFonts w:asciiTheme="minorHAnsi" w:hAnsiTheme="minorHAnsi" w:cstheme="minorHAnsi"/>
          <w:lang w:val="fr-FR"/>
        </w:rPr>
        <w:t>–</w:t>
      </w:r>
      <w:r w:rsidR="003A5C1A" w:rsidRPr="005C2B91">
        <w:rPr>
          <w:rFonts w:asciiTheme="minorHAnsi" w:hAnsiTheme="minorHAnsi" w:cstheme="minorHAnsi"/>
          <w:lang w:val="fr-FR"/>
        </w:rPr>
        <w:t xml:space="preserve"> </w:t>
      </w:r>
      <w:r w:rsidR="00A76A86" w:rsidRPr="005C2B91">
        <w:rPr>
          <w:rFonts w:asciiTheme="minorHAnsi" w:hAnsiTheme="minorHAnsi" w:cstheme="minorHAnsi"/>
          <w:lang w:val="fr-FR"/>
        </w:rPr>
        <w:t xml:space="preserve">Association Internationale de la Boulangerie Industrielle - </w:t>
      </w:r>
      <w:hyperlink r:id="rId8" w:history="1">
        <w:r w:rsidR="003A5C1A" w:rsidRPr="005C2B91">
          <w:rPr>
            <w:rStyle w:val="Hyperlink"/>
            <w:rFonts w:asciiTheme="minorHAnsi" w:hAnsiTheme="minorHAnsi" w:cstheme="minorHAnsi"/>
            <w:lang w:val="fr-FR"/>
          </w:rPr>
          <w:t>info@aibi.eu</w:t>
        </w:r>
      </w:hyperlink>
    </w:p>
    <w:p w:rsidR="001D019F" w:rsidRPr="005C2B91" w:rsidRDefault="00A76A86" w:rsidP="00D22897">
      <w:pPr>
        <w:tabs>
          <w:tab w:val="num" w:pos="720"/>
        </w:tabs>
        <w:ind w:left="-360"/>
        <w:jc w:val="both"/>
        <w:rPr>
          <w:rFonts w:asciiTheme="minorHAnsi" w:hAnsiTheme="minorHAnsi" w:cstheme="minorHAnsi"/>
          <w:spacing w:val="8"/>
          <w:lang w:val="fr-FR"/>
        </w:rPr>
      </w:pPr>
      <w:r w:rsidRPr="005C2B91">
        <w:rPr>
          <w:rFonts w:asciiTheme="minorHAnsi" w:hAnsiTheme="minorHAnsi" w:cstheme="minorHAnsi"/>
          <w:spacing w:val="8"/>
          <w:lang w:val="fr-FR"/>
        </w:rPr>
        <w:t xml:space="preserve">Pour une information complète </w:t>
      </w:r>
      <w:r w:rsidR="001D019F" w:rsidRPr="005C2B91">
        <w:rPr>
          <w:rFonts w:asciiTheme="minorHAnsi" w:hAnsiTheme="minorHAnsi" w:cstheme="minorHAnsi"/>
          <w:spacing w:val="8"/>
          <w:lang w:val="fr-FR"/>
        </w:rPr>
        <w:t>:</w:t>
      </w:r>
    </w:p>
    <w:p w:rsidR="009C3951" w:rsidRDefault="0079177A" w:rsidP="009C3951">
      <w:pPr>
        <w:tabs>
          <w:tab w:val="num" w:pos="720"/>
        </w:tabs>
        <w:spacing w:line="260" w:lineRule="exact"/>
        <w:ind w:left="-360"/>
        <w:jc w:val="both"/>
        <w:rPr>
          <w:rFonts w:ascii="Calibri" w:hAnsi="Calibri" w:cs="Times New Roman"/>
          <w:lang w:val="de-DE"/>
        </w:rPr>
      </w:pPr>
      <w:hyperlink r:id="rId9" w:history="1">
        <w:r w:rsidR="009C3951">
          <w:rPr>
            <w:rStyle w:val="Hyperlink"/>
            <w:rFonts w:ascii="Calibri" w:hAnsi="Calibri" w:cs="Times New Roman"/>
            <w:noProof/>
            <w:spacing w:val="8"/>
            <w:lang w:val="de-DE"/>
          </w:rPr>
          <w:t>http://www.fooddrinkeurope.eu/publication/fooddrinkeurope-updates-industry-wide-toolbox-to-help-manufacturers-further/</w:t>
        </w:r>
      </w:hyperlink>
    </w:p>
    <w:p w:rsidR="00D22897" w:rsidRPr="009C3951" w:rsidRDefault="00D22897" w:rsidP="00D22897">
      <w:pPr>
        <w:tabs>
          <w:tab w:val="num" w:pos="720"/>
        </w:tabs>
        <w:ind w:left="-360"/>
        <w:jc w:val="both"/>
        <w:rPr>
          <w:rFonts w:asciiTheme="minorHAnsi" w:hAnsiTheme="minorHAnsi" w:cstheme="minorHAnsi"/>
          <w:lang w:val="de-DE"/>
        </w:rPr>
      </w:pPr>
    </w:p>
    <w:p w:rsidR="00D22897" w:rsidRPr="005C2B91" w:rsidRDefault="004E74FB" w:rsidP="00D22897">
      <w:pPr>
        <w:tabs>
          <w:tab w:val="num" w:pos="720"/>
        </w:tabs>
        <w:ind w:left="-360"/>
        <w:jc w:val="both"/>
        <w:rPr>
          <w:rFonts w:asciiTheme="minorHAnsi" w:hAnsiTheme="minorHAnsi" w:cstheme="minorHAnsi"/>
          <w:b/>
        </w:rPr>
      </w:pPr>
      <w:r w:rsidRPr="005C2B91">
        <w:rPr>
          <w:rFonts w:asciiTheme="minorHAnsi" w:hAnsiTheme="minorHAnsi" w:cstheme="minorHAnsi"/>
          <w:b/>
        </w:rPr>
        <w:t>Formation de l’acrylamid</w:t>
      </w:r>
      <w:r w:rsidR="00817867" w:rsidRPr="005C2B91">
        <w:rPr>
          <w:rFonts w:asciiTheme="minorHAnsi" w:hAnsiTheme="minorHAnsi" w:cstheme="minorHAnsi"/>
          <w:b/>
        </w:rPr>
        <w:t>e</w:t>
      </w:r>
    </w:p>
    <w:p w:rsidR="00D22897" w:rsidRPr="005C2B91" w:rsidRDefault="00817867" w:rsidP="00D22897">
      <w:pPr>
        <w:numPr>
          <w:ilvl w:val="0"/>
          <w:numId w:val="13"/>
        </w:numPr>
        <w:ind w:left="0" w:hanging="284"/>
        <w:jc w:val="both"/>
        <w:rPr>
          <w:rFonts w:asciiTheme="minorHAnsi" w:hAnsiTheme="minorHAnsi" w:cstheme="minorHAnsi"/>
          <w:lang w:val="fr-FR"/>
        </w:rPr>
      </w:pPr>
      <w:r w:rsidRPr="005C2B91">
        <w:rPr>
          <w:rFonts w:asciiTheme="minorHAnsi" w:hAnsiTheme="minorHAnsi" w:cstheme="minorHAnsi"/>
          <w:lang w:val="fr-FR"/>
        </w:rPr>
        <w:t xml:space="preserve">L’acrylamide </w:t>
      </w:r>
      <w:r w:rsidR="00466E74" w:rsidRPr="005C2B91">
        <w:rPr>
          <w:rFonts w:asciiTheme="minorHAnsi" w:hAnsiTheme="minorHAnsi" w:cstheme="minorHAnsi"/>
          <w:lang w:val="fr-FR"/>
        </w:rPr>
        <w:t>se forme par réaction de l’asparagine avec les sucres réducteurs</w:t>
      </w:r>
      <w:r w:rsidR="00466E74" w:rsidRPr="005C2B91">
        <w:rPr>
          <w:rFonts w:asciiTheme="minorHAnsi" w:hAnsiTheme="minorHAnsi" w:cstheme="minorHAnsi"/>
          <w:color w:val="FF0000"/>
          <w:lang w:val="fr-FR"/>
        </w:rPr>
        <w:t xml:space="preserve"> </w:t>
      </w:r>
      <w:r w:rsidRPr="005C2B91">
        <w:rPr>
          <w:rFonts w:asciiTheme="minorHAnsi" w:hAnsiTheme="minorHAnsi" w:cstheme="minorHAnsi"/>
          <w:lang w:val="fr-FR"/>
        </w:rPr>
        <w:t>(ces deux substances sont présentes à l’état naturel dans les céréales).</w:t>
      </w:r>
    </w:p>
    <w:p w:rsidR="00D22897" w:rsidRPr="005C2B91" w:rsidRDefault="00817867" w:rsidP="00D22897">
      <w:pPr>
        <w:numPr>
          <w:ilvl w:val="0"/>
          <w:numId w:val="13"/>
        </w:numPr>
        <w:ind w:left="0" w:hanging="284"/>
        <w:jc w:val="both"/>
        <w:rPr>
          <w:rFonts w:asciiTheme="minorHAnsi" w:hAnsiTheme="minorHAnsi" w:cstheme="minorHAnsi"/>
          <w:lang w:val="fr-FR"/>
        </w:rPr>
      </w:pPr>
      <w:r w:rsidRPr="005C2B91">
        <w:rPr>
          <w:rFonts w:asciiTheme="minorHAnsi" w:hAnsiTheme="minorHAnsi" w:cstheme="minorHAnsi"/>
          <w:lang w:val="fr-FR"/>
        </w:rPr>
        <w:t>La température doit dépasser les 120°C</w:t>
      </w:r>
    </w:p>
    <w:p w:rsidR="00D22897" w:rsidRPr="005C2B91" w:rsidRDefault="00817867" w:rsidP="00D22897">
      <w:pPr>
        <w:numPr>
          <w:ilvl w:val="0"/>
          <w:numId w:val="13"/>
        </w:numPr>
        <w:ind w:left="0" w:hanging="284"/>
        <w:jc w:val="both"/>
        <w:rPr>
          <w:rFonts w:asciiTheme="minorHAnsi" w:hAnsiTheme="minorHAnsi" w:cstheme="minorHAnsi"/>
          <w:lang w:val="fr-FR"/>
        </w:rPr>
      </w:pPr>
      <w:r w:rsidRPr="005C2B91">
        <w:rPr>
          <w:rFonts w:asciiTheme="minorHAnsi" w:hAnsiTheme="minorHAnsi" w:cstheme="minorHAnsi"/>
          <w:lang w:val="fr-FR"/>
        </w:rPr>
        <w:t>La quantité d’acrylamide varie en fonction de tr</w:t>
      </w:r>
      <w:r w:rsidR="00302BDE" w:rsidRPr="005C2B91">
        <w:rPr>
          <w:rFonts w:asciiTheme="minorHAnsi" w:hAnsiTheme="minorHAnsi" w:cstheme="minorHAnsi"/>
          <w:lang w:val="fr-FR"/>
        </w:rPr>
        <w:t>oi</w:t>
      </w:r>
      <w:r w:rsidRPr="005C2B91">
        <w:rPr>
          <w:rFonts w:asciiTheme="minorHAnsi" w:hAnsiTheme="minorHAnsi" w:cstheme="minorHAnsi"/>
          <w:lang w:val="fr-FR"/>
        </w:rPr>
        <w:t>s facteurs</w:t>
      </w:r>
    </w:p>
    <w:p w:rsidR="00D22897" w:rsidRPr="005C2B91" w:rsidRDefault="00D22897" w:rsidP="00D22897">
      <w:pPr>
        <w:numPr>
          <w:ilvl w:val="0"/>
          <w:numId w:val="13"/>
        </w:numPr>
        <w:jc w:val="both"/>
        <w:rPr>
          <w:rFonts w:asciiTheme="minorHAnsi" w:hAnsiTheme="minorHAnsi" w:cstheme="minorHAnsi"/>
          <w:lang w:val="en-GB"/>
        </w:rPr>
      </w:pPr>
      <w:r w:rsidRPr="005C2B91">
        <w:rPr>
          <w:rFonts w:asciiTheme="minorHAnsi" w:hAnsiTheme="minorHAnsi" w:cstheme="minorHAnsi"/>
          <w:lang w:val="en-GB"/>
        </w:rPr>
        <w:t>Temp</w:t>
      </w:r>
      <w:r w:rsidR="00817867" w:rsidRPr="005C2B91">
        <w:rPr>
          <w:rFonts w:asciiTheme="minorHAnsi" w:hAnsiTheme="minorHAnsi" w:cstheme="minorHAnsi"/>
          <w:lang w:val="en-GB"/>
        </w:rPr>
        <w:t>é</w:t>
      </w:r>
      <w:r w:rsidRPr="005C2B91">
        <w:rPr>
          <w:rFonts w:asciiTheme="minorHAnsi" w:hAnsiTheme="minorHAnsi" w:cstheme="minorHAnsi"/>
          <w:lang w:val="en-GB"/>
        </w:rPr>
        <w:t xml:space="preserve">rature </w:t>
      </w:r>
    </w:p>
    <w:p w:rsidR="00D22897" w:rsidRPr="005C2B91" w:rsidRDefault="0053751F" w:rsidP="00D22897">
      <w:pPr>
        <w:numPr>
          <w:ilvl w:val="0"/>
          <w:numId w:val="13"/>
        </w:numPr>
        <w:jc w:val="both"/>
        <w:rPr>
          <w:rFonts w:asciiTheme="minorHAnsi" w:hAnsiTheme="minorHAnsi" w:cstheme="minorHAnsi"/>
          <w:lang w:val="en-GB"/>
        </w:rPr>
      </w:pPr>
      <w:r w:rsidRPr="005C2B91">
        <w:rPr>
          <w:rFonts w:asciiTheme="minorHAnsi" w:hAnsiTheme="minorHAnsi" w:cstheme="minorHAnsi"/>
          <w:lang w:val="en-GB"/>
        </w:rPr>
        <w:t>Temps de cu</w:t>
      </w:r>
      <w:r w:rsidR="00817867" w:rsidRPr="005C2B91">
        <w:rPr>
          <w:rFonts w:asciiTheme="minorHAnsi" w:hAnsiTheme="minorHAnsi" w:cstheme="minorHAnsi"/>
          <w:lang w:val="en-GB"/>
        </w:rPr>
        <w:t>isson</w:t>
      </w:r>
    </w:p>
    <w:p w:rsidR="00D22897" w:rsidRPr="005C2B91" w:rsidRDefault="00817867" w:rsidP="00D22897">
      <w:pPr>
        <w:numPr>
          <w:ilvl w:val="0"/>
          <w:numId w:val="13"/>
        </w:numPr>
        <w:rPr>
          <w:rFonts w:asciiTheme="minorHAnsi" w:hAnsiTheme="minorHAnsi" w:cstheme="minorHAnsi"/>
        </w:rPr>
      </w:pPr>
      <w:r w:rsidRPr="005C2B91">
        <w:rPr>
          <w:rFonts w:asciiTheme="minorHAnsi" w:hAnsiTheme="minorHAnsi" w:cstheme="minorHAnsi"/>
          <w:lang w:val="en-GB"/>
        </w:rPr>
        <w:t>Recette</w:t>
      </w:r>
    </w:p>
    <w:p w:rsidR="00302BDE" w:rsidRPr="00817867" w:rsidRDefault="00302BDE" w:rsidP="00D22897">
      <w:pPr>
        <w:numPr>
          <w:ilvl w:val="0"/>
          <w:numId w:val="13"/>
        </w:numPr>
        <w:rPr>
          <w:sz w:val="22"/>
          <w:szCs w:val="22"/>
        </w:rPr>
        <w:sectPr w:rsidR="00302BDE" w:rsidRPr="00817867" w:rsidSect="00286A22">
          <w:headerReference w:type="even" r:id="rId10"/>
          <w:headerReference w:type="default" r:id="rId11"/>
          <w:footerReference w:type="even" r:id="rId12"/>
          <w:footerReference w:type="default" r:id="rId13"/>
          <w:headerReference w:type="first" r:id="rId14"/>
          <w:footerReference w:type="first" r:id="rId15"/>
          <w:type w:val="continuous"/>
          <w:pgSz w:w="16838" w:h="11906" w:orient="landscape"/>
          <w:pgMar w:top="238" w:right="851" w:bottom="284" w:left="851" w:header="709" w:footer="221" w:gutter="0"/>
          <w:cols w:num="3" w:space="720"/>
          <w:titlePg/>
          <w:docGrid w:linePitch="360"/>
        </w:sectPr>
      </w:pPr>
    </w:p>
    <w:p w:rsidR="000E27E7" w:rsidRPr="000F5203" w:rsidRDefault="00D22897" w:rsidP="000E27E7">
      <w:pPr>
        <w:tabs>
          <w:tab w:val="num" w:pos="720"/>
        </w:tabs>
        <w:ind w:left="-360"/>
        <w:jc w:val="both"/>
        <w:rPr>
          <w:sz w:val="22"/>
          <w:szCs w:val="22"/>
          <w:lang w:val="fr-FR"/>
        </w:rPr>
      </w:pPr>
      <w:r w:rsidRPr="00302BDE">
        <w:rPr>
          <w:sz w:val="22"/>
          <w:szCs w:val="22"/>
          <w:lang w:val="fr-FR"/>
        </w:rPr>
        <w:lastRenderedPageBreak/>
        <w:br w:type="page"/>
      </w:r>
      <w:r w:rsidR="00302BDE" w:rsidRPr="00302BDE">
        <w:rPr>
          <w:b/>
          <w:sz w:val="28"/>
          <w:szCs w:val="28"/>
          <w:lang w:val="fr-FR"/>
        </w:rPr>
        <w:lastRenderedPageBreak/>
        <w:t>Méthodes de réduction</w:t>
      </w:r>
      <w:r w:rsidRPr="00302BDE">
        <w:rPr>
          <w:b/>
          <w:sz w:val="28"/>
          <w:szCs w:val="28"/>
          <w:lang w:val="fr-FR"/>
        </w:rPr>
        <w:t xml:space="preserve"> </w:t>
      </w:r>
      <w:r w:rsidR="00302BDE" w:rsidRPr="00302BDE">
        <w:rPr>
          <w:b/>
          <w:sz w:val="26"/>
          <w:szCs w:val="26"/>
          <w:lang w:val="fr-FR"/>
        </w:rPr>
        <w:t xml:space="preserve">pour les </w:t>
      </w:r>
      <w:r w:rsidR="00302BDE" w:rsidRPr="000F5203">
        <w:rPr>
          <w:b/>
          <w:sz w:val="26"/>
          <w:szCs w:val="26"/>
          <w:lang w:val="fr-FR"/>
        </w:rPr>
        <w:t>p</w:t>
      </w:r>
      <w:r w:rsidR="00466E74" w:rsidRPr="000F5203">
        <w:rPr>
          <w:b/>
          <w:sz w:val="26"/>
          <w:szCs w:val="26"/>
          <w:lang w:val="fr-FR"/>
        </w:rPr>
        <w:t>roduits de boulangerie</w:t>
      </w:r>
    </w:p>
    <w:p w:rsidR="005F3162" w:rsidRPr="005C2B91" w:rsidRDefault="00302BDE" w:rsidP="006B35F1">
      <w:pPr>
        <w:tabs>
          <w:tab w:val="num" w:pos="720"/>
        </w:tabs>
        <w:ind w:left="-360"/>
        <w:jc w:val="both"/>
        <w:rPr>
          <w:rFonts w:ascii="Calibri" w:hAnsi="Calibri" w:cs="Calibri"/>
          <w:sz w:val="22"/>
          <w:szCs w:val="22"/>
          <w:lang w:val="fr-FR"/>
        </w:rPr>
      </w:pPr>
      <w:r w:rsidRPr="005C2B91">
        <w:rPr>
          <w:rFonts w:ascii="Calibri" w:hAnsi="Calibri" w:cs="Calibri"/>
          <w:sz w:val="22"/>
          <w:szCs w:val="22"/>
          <w:lang w:val="fr-FR"/>
        </w:rPr>
        <w:t>Les “outils” suivants ont été utilisés avec succès dans la r</w:t>
      </w:r>
      <w:r w:rsidR="007673AC" w:rsidRPr="005C2B91">
        <w:rPr>
          <w:rFonts w:ascii="Calibri" w:hAnsi="Calibri" w:cs="Calibri"/>
          <w:sz w:val="22"/>
          <w:szCs w:val="22"/>
          <w:lang w:val="fr-FR"/>
        </w:rPr>
        <w:t>é</w:t>
      </w:r>
      <w:r w:rsidRPr="005C2B91">
        <w:rPr>
          <w:rFonts w:ascii="Calibri" w:hAnsi="Calibri" w:cs="Calibri"/>
          <w:sz w:val="22"/>
          <w:szCs w:val="22"/>
          <w:lang w:val="fr-FR"/>
        </w:rPr>
        <w:t xml:space="preserve">duction </w:t>
      </w:r>
      <w:r w:rsidR="007673AC" w:rsidRPr="005C2B91">
        <w:rPr>
          <w:rFonts w:ascii="Calibri" w:hAnsi="Calibri" w:cs="Calibri"/>
          <w:sz w:val="22"/>
          <w:szCs w:val="22"/>
          <w:lang w:val="fr-FR"/>
        </w:rPr>
        <w:t xml:space="preserve">du </w:t>
      </w:r>
      <w:r w:rsidR="0053751F" w:rsidRPr="005C2B91">
        <w:rPr>
          <w:rFonts w:ascii="Calibri" w:hAnsi="Calibri" w:cs="Calibri"/>
          <w:sz w:val="22"/>
          <w:szCs w:val="22"/>
          <w:lang w:val="fr-FR"/>
        </w:rPr>
        <w:t>taux</w:t>
      </w:r>
      <w:r w:rsidR="007673AC" w:rsidRPr="005C2B91">
        <w:rPr>
          <w:rFonts w:ascii="Calibri" w:hAnsi="Calibri" w:cs="Calibri"/>
          <w:sz w:val="22"/>
          <w:szCs w:val="22"/>
          <w:lang w:val="fr-FR"/>
        </w:rPr>
        <w:t xml:space="preserve"> d’</w:t>
      </w:r>
      <w:r w:rsidRPr="005C2B91">
        <w:rPr>
          <w:rFonts w:ascii="Calibri" w:hAnsi="Calibri" w:cs="Calibri"/>
          <w:sz w:val="22"/>
          <w:szCs w:val="22"/>
          <w:lang w:val="fr-FR"/>
        </w:rPr>
        <w:t>acrylamide</w:t>
      </w:r>
      <w:r w:rsidR="007673AC" w:rsidRPr="005C2B91">
        <w:rPr>
          <w:rFonts w:ascii="Calibri" w:hAnsi="Calibri" w:cs="Calibri"/>
          <w:sz w:val="22"/>
          <w:szCs w:val="22"/>
          <w:lang w:val="fr-FR"/>
        </w:rPr>
        <w:t xml:space="preserve"> dans le</w:t>
      </w:r>
      <w:r w:rsidR="00466E74" w:rsidRPr="005C2B91">
        <w:rPr>
          <w:rFonts w:ascii="Calibri" w:hAnsi="Calibri" w:cs="Calibri"/>
          <w:sz w:val="22"/>
          <w:szCs w:val="22"/>
          <w:lang w:val="fr-FR"/>
        </w:rPr>
        <w:t>s produits de boulangerie</w:t>
      </w:r>
      <w:r w:rsidR="00E6110D" w:rsidRPr="005C2B91">
        <w:rPr>
          <w:rFonts w:ascii="Calibri" w:hAnsi="Calibri" w:cs="Calibri"/>
          <w:sz w:val="22"/>
          <w:szCs w:val="22"/>
          <w:lang w:val="fr-FR"/>
        </w:rPr>
        <w:t xml:space="preserve">. </w:t>
      </w:r>
      <w:r w:rsidRPr="005C2B91">
        <w:rPr>
          <w:rFonts w:ascii="Calibri" w:hAnsi="Calibri" w:cs="Calibri"/>
          <w:sz w:val="22"/>
          <w:szCs w:val="22"/>
          <w:lang w:val="fr-FR"/>
        </w:rPr>
        <w:t xml:space="preserve">Les fabricants sont invités à choisir les « outils » qui leur paraissent le mieux adaptés à leurs produits, méthodes de fabrication et standards de qualité. </w:t>
      </w:r>
    </w:p>
    <w:p w:rsidR="001C28F7" w:rsidRDefault="00463929" w:rsidP="001C28F7">
      <w:pPr>
        <w:jc w:val="center"/>
        <w:rPr>
          <w:sz w:val="22"/>
          <w:szCs w:val="22"/>
          <w:lang w:val="en-GB"/>
        </w:rPr>
      </w:pPr>
      <w:r>
        <w:rPr>
          <w:noProof/>
          <w:sz w:val="22"/>
          <w:szCs w:val="22"/>
        </w:rPr>
        <w:drawing>
          <wp:inline distT="0" distB="0" distL="0" distR="0" wp14:anchorId="128C0CB7" wp14:editId="21D071EB">
            <wp:extent cx="5945125" cy="387350"/>
            <wp:effectExtent l="6095" t="0" r="0" b="0"/>
            <wp:docPr id="1" name="Object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304800"/>
                      <a:chOff x="1000125" y="1143000"/>
                      <a:chExt cx="7696200" cy="304800"/>
                    </a:xfrm>
                  </a:grpSpPr>
                  <a:sp>
                    <a:nvSpPr>
                      <a:cNvPr id="3080" name="AutoShape 7"/>
                      <a:cNvSpPr>
                        <a:spLocks noChangeArrowheads="1"/>
                      </a:cNvSpPr>
                    </a:nvSpPr>
                    <a:spPr bwMode="auto">
                      <a:xfrm>
                        <a:off x="1000125" y="1143000"/>
                        <a:ext cx="7696200" cy="304800"/>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9826 w 21600"/>
                          <a:gd name="T15" fmla="*/ 16200 h 21600"/>
                        </a:gdLst>
                        <a:ahLst/>
                        <a:cxnLst>
                          <a:cxn ang="T8">
                            <a:pos x="T0" y="T1"/>
                          </a:cxn>
                          <a:cxn ang="T9">
                            <a:pos x="T2" y="T3"/>
                          </a:cxn>
                          <a:cxn ang="T10">
                            <a:pos x="T4" y="T5"/>
                          </a:cxn>
                          <a:cxn ang="T11">
                            <a:pos x="T6" y="T7"/>
                          </a:cxn>
                        </a:cxnLst>
                        <a:rect l="T12" t="T13" r="T14" b="T15"/>
                        <a:pathLst>
                          <a:path w="21600" h="21600">
                            <a:moveTo>
                              <a:pt x="18053" y="0"/>
                            </a:moveTo>
                            <a:lnTo>
                              <a:pt x="18053" y="5400"/>
                            </a:lnTo>
                            <a:lnTo>
                              <a:pt x="3375" y="5400"/>
                            </a:lnTo>
                            <a:lnTo>
                              <a:pt x="3375" y="16200"/>
                            </a:lnTo>
                            <a:lnTo>
                              <a:pt x="18053" y="16200"/>
                            </a:lnTo>
                            <a:lnTo>
                              <a:pt x="18053"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chemeClr val="tx1"/>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lc:lockedCanvas>
              </a:graphicData>
            </a:graphic>
          </wp:inline>
        </w:drawing>
      </w:r>
    </w:p>
    <w:p w:rsidR="00423D82" w:rsidRDefault="00423D82" w:rsidP="001C28F7">
      <w:pPr>
        <w:jc w:val="center"/>
        <w:rPr>
          <w:sz w:val="22"/>
          <w:szCs w:val="22"/>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103"/>
        <w:gridCol w:w="3544"/>
        <w:gridCol w:w="3402"/>
      </w:tblGrid>
      <w:tr w:rsidR="002252D3" w:rsidRPr="002252D3" w:rsidTr="005C2B91">
        <w:trPr>
          <w:trHeight w:val="795"/>
        </w:trPr>
        <w:tc>
          <w:tcPr>
            <w:tcW w:w="3828" w:type="dxa"/>
          </w:tcPr>
          <w:p w:rsidR="00302BDE" w:rsidRDefault="00302BDE" w:rsidP="00A9535D">
            <w:pPr>
              <w:jc w:val="center"/>
              <w:rPr>
                <w:b/>
                <w:bCs/>
                <w:sz w:val="22"/>
                <w:szCs w:val="22"/>
                <w:lang w:val="fr-BE"/>
              </w:rPr>
            </w:pPr>
          </w:p>
          <w:p w:rsidR="00A9535D" w:rsidRPr="002252D3" w:rsidRDefault="00302BDE" w:rsidP="00A9535D">
            <w:pPr>
              <w:jc w:val="center"/>
              <w:rPr>
                <w:b/>
                <w:sz w:val="22"/>
                <w:szCs w:val="22"/>
                <w:lang w:val="en-GB"/>
              </w:rPr>
            </w:pPr>
            <w:r>
              <w:rPr>
                <w:b/>
                <w:bCs/>
                <w:sz w:val="22"/>
                <w:szCs w:val="22"/>
                <w:lang w:val="fr-BE"/>
              </w:rPr>
              <w:t>Matières premières</w:t>
            </w:r>
            <w:r w:rsidR="00D3227E">
              <w:rPr>
                <w:b/>
                <w:bCs/>
                <w:sz w:val="22"/>
                <w:szCs w:val="22"/>
                <w:lang w:val="fr-BE"/>
              </w:rPr>
              <w:t xml:space="preserve"> </w:t>
            </w:r>
          </w:p>
          <w:p w:rsidR="005F3162" w:rsidRPr="002252D3" w:rsidRDefault="005F3162" w:rsidP="00302BDE">
            <w:pPr>
              <w:jc w:val="center"/>
              <w:rPr>
                <w:b/>
                <w:sz w:val="22"/>
                <w:szCs w:val="22"/>
              </w:rPr>
            </w:pPr>
          </w:p>
        </w:tc>
        <w:tc>
          <w:tcPr>
            <w:tcW w:w="5103" w:type="dxa"/>
          </w:tcPr>
          <w:p w:rsidR="00302BDE" w:rsidRDefault="00302BDE" w:rsidP="00A9535D">
            <w:pPr>
              <w:jc w:val="center"/>
              <w:rPr>
                <w:b/>
                <w:bCs/>
                <w:sz w:val="22"/>
                <w:szCs w:val="22"/>
                <w:lang w:val="fr-BE"/>
              </w:rPr>
            </w:pPr>
          </w:p>
          <w:p w:rsidR="00A9535D" w:rsidRDefault="00302BDE" w:rsidP="00A9535D">
            <w:pPr>
              <w:jc w:val="center"/>
              <w:rPr>
                <w:b/>
                <w:bCs/>
                <w:sz w:val="22"/>
                <w:szCs w:val="22"/>
                <w:lang w:val="fr-BE"/>
              </w:rPr>
            </w:pPr>
            <w:r>
              <w:rPr>
                <w:b/>
                <w:bCs/>
                <w:sz w:val="22"/>
                <w:szCs w:val="22"/>
                <w:lang w:val="fr-BE"/>
              </w:rPr>
              <w:t>Recette</w:t>
            </w:r>
          </w:p>
          <w:p w:rsidR="00A9535D" w:rsidRPr="002252D3" w:rsidRDefault="00A9535D" w:rsidP="005F3162">
            <w:pPr>
              <w:jc w:val="center"/>
              <w:rPr>
                <w:b/>
                <w:sz w:val="22"/>
                <w:szCs w:val="22"/>
              </w:rPr>
            </w:pPr>
          </w:p>
        </w:tc>
        <w:tc>
          <w:tcPr>
            <w:tcW w:w="3544" w:type="dxa"/>
          </w:tcPr>
          <w:p w:rsidR="00302BDE" w:rsidRDefault="00302BDE" w:rsidP="00A9535D">
            <w:pPr>
              <w:jc w:val="center"/>
              <w:rPr>
                <w:b/>
                <w:bCs/>
                <w:sz w:val="22"/>
                <w:szCs w:val="22"/>
                <w:lang w:val="fr-BE"/>
              </w:rPr>
            </w:pPr>
          </w:p>
          <w:p w:rsidR="00A9535D" w:rsidRPr="002252D3" w:rsidRDefault="00A9535D" w:rsidP="00A9535D">
            <w:pPr>
              <w:jc w:val="center"/>
              <w:rPr>
                <w:b/>
                <w:sz w:val="22"/>
                <w:szCs w:val="22"/>
                <w:lang w:val="en-GB"/>
              </w:rPr>
            </w:pPr>
            <w:r w:rsidRPr="002252D3">
              <w:rPr>
                <w:b/>
                <w:bCs/>
                <w:sz w:val="22"/>
                <w:szCs w:val="22"/>
                <w:lang w:val="fr-BE"/>
              </w:rPr>
              <w:t>Process</w:t>
            </w:r>
          </w:p>
          <w:p w:rsidR="00A9535D" w:rsidRPr="002252D3" w:rsidRDefault="00A9535D" w:rsidP="00302BDE">
            <w:pPr>
              <w:jc w:val="center"/>
              <w:rPr>
                <w:b/>
                <w:sz w:val="22"/>
                <w:szCs w:val="22"/>
              </w:rPr>
            </w:pPr>
          </w:p>
        </w:tc>
        <w:tc>
          <w:tcPr>
            <w:tcW w:w="3402" w:type="dxa"/>
          </w:tcPr>
          <w:p w:rsidR="00302BDE" w:rsidRDefault="00302BDE" w:rsidP="00A9535D">
            <w:pPr>
              <w:jc w:val="center"/>
              <w:rPr>
                <w:b/>
                <w:bCs/>
                <w:sz w:val="22"/>
                <w:szCs w:val="22"/>
                <w:lang w:val="fr-BE"/>
              </w:rPr>
            </w:pPr>
          </w:p>
          <w:p w:rsidR="00A9535D" w:rsidRPr="002252D3" w:rsidRDefault="00302BDE" w:rsidP="00A9535D">
            <w:pPr>
              <w:jc w:val="center"/>
              <w:rPr>
                <w:b/>
                <w:sz w:val="22"/>
                <w:szCs w:val="22"/>
                <w:lang w:val="en-GB"/>
              </w:rPr>
            </w:pPr>
            <w:r>
              <w:rPr>
                <w:b/>
                <w:bCs/>
                <w:sz w:val="22"/>
                <w:szCs w:val="22"/>
                <w:lang w:val="fr-BE"/>
              </w:rPr>
              <w:t>Produit fini</w:t>
            </w:r>
          </w:p>
          <w:p w:rsidR="00A9535D" w:rsidRPr="002252D3" w:rsidRDefault="00A9535D" w:rsidP="00302BDE">
            <w:pPr>
              <w:jc w:val="center"/>
              <w:rPr>
                <w:b/>
                <w:sz w:val="22"/>
                <w:szCs w:val="22"/>
              </w:rPr>
            </w:pPr>
          </w:p>
        </w:tc>
      </w:tr>
      <w:tr w:rsidR="002252D3" w:rsidRPr="009C3951" w:rsidTr="005C2B91">
        <w:tc>
          <w:tcPr>
            <w:tcW w:w="3828" w:type="dxa"/>
          </w:tcPr>
          <w:p w:rsidR="009A6664" w:rsidRPr="009A6664" w:rsidRDefault="009A6664" w:rsidP="009A6664">
            <w:pPr>
              <w:ind w:left="360"/>
            </w:pPr>
          </w:p>
          <w:p w:rsidR="00D3227E" w:rsidRPr="00302BDE" w:rsidRDefault="00302BDE" w:rsidP="00D3227E">
            <w:pPr>
              <w:numPr>
                <w:ilvl w:val="0"/>
                <w:numId w:val="9"/>
              </w:numPr>
              <w:rPr>
                <w:lang w:val="fr-FR"/>
              </w:rPr>
            </w:pPr>
            <w:r w:rsidRPr="00302BDE">
              <w:rPr>
                <w:noProof/>
                <w:lang w:val="fr-FR"/>
              </w:rPr>
              <w:t>La composition des sucres contenus dans les céréales n’est pas déterminante dans la fo</w:t>
            </w:r>
            <w:r w:rsidR="0053751F">
              <w:rPr>
                <w:noProof/>
                <w:lang w:val="fr-FR"/>
              </w:rPr>
              <w:t>r</w:t>
            </w:r>
            <w:r w:rsidRPr="00302BDE">
              <w:rPr>
                <w:noProof/>
                <w:lang w:val="fr-FR"/>
              </w:rPr>
              <w:t>mation de l’</w:t>
            </w:r>
            <w:r w:rsidR="00D3227E" w:rsidRPr="00302BDE">
              <w:rPr>
                <w:noProof/>
                <w:lang w:val="fr-FR"/>
              </w:rPr>
              <w:t xml:space="preserve"> AA.</w:t>
            </w:r>
          </w:p>
          <w:p w:rsidR="001D7B31" w:rsidRPr="0053751F" w:rsidRDefault="00302BDE" w:rsidP="001D7B31">
            <w:pPr>
              <w:numPr>
                <w:ilvl w:val="0"/>
                <w:numId w:val="9"/>
              </w:numPr>
              <w:rPr>
                <w:lang w:val="fr-FR"/>
              </w:rPr>
            </w:pPr>
            <w:r w:rsidRPr="0053751F">
              <w:rPr>
                <w:lang w:val="fr-FR"/>
              </w:rPr>
              <w:t>Un terrain pauvre en s</w:t>
            </w:r>
            <w:r w:rsidR="0053751F" w:rsidRPr="0053751F">
              <w:rPr>
                <w:lang w:val="fr-FR"/>
              </w:rPr>
              <w:t>oufre</w:t>
            </w:r>
            <w:r w:rsidRPr="0053751F">
              <w:rPr>
                <w:lang w:val="fr-FR"/>
              </w:rPr>
              <w:t xml:space="preserve"> semble favoriser considérablement </w:t>
            </w:r>
            <w:r w:rsidR="002A061F" w:rsidRPr="0053751F">
              <w:rPr>
                <w:lang w:val="fr-FR"/>
              </w:rPr>
              <w:t>la concentration en As</w:t>
            </w:r>
            <w:r w:rsidR="0053751F" w:rsidRPr="0053751F">
              <w:rPr>
                <w:lang w:val="fr-FR"/>
              </w:rPr>
              <w:t>paragine</w:t>
            </w:r>
            <w:r w:rsidR="002A061F" w:rsidRPr="0053751F">
              <w:rPr>
                <w:lang w:val="fr-FR"/>
              </w:rPr>
              <w:t xml:space="preserve"> dans certaines </w:t>
            </w:r>
            <w:r w:rsidR="001D7B31" w:rsidRPr="0053751F">
              <w:rPr>
                <w:lang w:val="fr-FR"/>
              </w:rPr>
              <w:t>récoltes</w:t>
            </w:r>
            <w:r w:rsidR="002A061F" w:rsidRPr="0053751F">
              <w:rPr>
                <w:lang w:val="fr-FR"/>
              </w:rPr>
              <w:t xml:space="preserve"> de céréales</w:t>
            </w:r>
            <w:r w:rsidR="00D3227E" w:rsidRPr="0053751F">
              <w:rPr>
                <w:lang w:val="fr-FR"/>
              </w:rPr>
              <w:t xml:space="preserve">. </w:t>
            </w:r>
            <w:r w:rsidR="001D7B31" w:rsidRPr="0053751F">
              <w:rPr>
                <w:lang w:val="fr-FR"/>
              </w:rPr>
              <w:t xml:space="preserve">Le manque de </w:t>
            </w:r>
            <w:r w:rsidR="0053751F" w:rsidRPr="0053751F">
              <w:rPr>
                <w:lang w:val="fr-FR"/>
              </w:rPr>
              <w:t>soufre</w:t>
            </w:r>
            <w:r w:rsidR="001D7B31" w:rsidRPr="0053751F">
              <w:rPr>
                <w:lang w:val="fr-FR"/>
              </w:rPr>
              <w:t xml:space="preserve"> dans le </w:t>
            </w:r>
            <w:r w:rsidR="0053751F">
              <w:rPr>
                <w:lang w:val="fr-FR"/>
              </w:rPr>
              <w:t>sol</w:t>
            </w:r>
            <w:r w:rsidR="001D7B31" w:rsidRPr="0053751F">
              <w:rPr>
                <w:lang w:val="fr-FR"/>
              </w:rPr>
              <w:t xml:space="preserve"> augmente le niveau d’As</w:t>
            </w:r>
            <w:r w:rsidR="0053751F">
              <w:rPr>
                <w:lang w:val="fr-FR"/>
              </w:rPr>
              <w:t>paragine</w:t>
            </w:r>
            <w:r w:rsidR="001D7B31" w:rsidRPr="0053751F">
              <w:rPr>
                <w:lang w:val="fr-FR"/>
              </w:rPr>
              <w:t xml:space="preserve"> dans la récolte et donc renforce le risque de formation d’acrylamide. Ceci </w:t>
            </w:r>
            <w:r w:rsidR="0053751F">
              <w:rPr>
                <w:lang w:val="fr-FR"/>
              </w:rPr>
              <w:t>a également une influence sur le spectre</w:t>
            </w:r>
            <w:r w:rsidR="001D7B31" w:rsidRPr="0053751F">
              <w:rPr>
                <w:lang w:val="fr-FR"/>
              </w:rPr>
              <w:t xml:space="preserve"> aromatique du produit et donc </w:t>
            </w:r>
            <w:r w:rsidR="0053751F">
              <w:rPr>
                <w:lang w:val="fr-FR"/>
              </w:rPr>
              <w:t xml:space="preserve">sur </w:t>
            </w:r>
            <w:r w:rsidR="001D7B31" w:rsidRPr="0053751F">
              <w:rPr>
                <w:lang w:val="fr-FR"/>
              </w:rPr>
              <w:t xml:space="preserve">ses propriétés organoleptiques. </w:t>
            </w:r>
          </w:p>
          <w:p w:rsidR="00D3227E" w:rsidRPr="001D7B31" w:rsidRDefault="00D3227E" w:rsidP="00D3227E">
            <w:pPr>
              <w:ind w:left="360"/>
              <w:rPr>
                <w:sz w:val="22"/>
                <w:szCs w:val="22"/>
                <w:lang w:val="fr-FR"/>
              </w:rPr>
            </w:pPr>
          </w:p>
        </w:tc>
        <w:tc>
          <w:tcPr>
            <w:tcW w:w="5103" w:type="dxa"/>
          </w:tcPr>
          <w:p w:rsidR="00E60772" w:rsidRPr="00AE7F9E" w:rsidRDefault="00B56E5E" w:rsidP="006B35F1">
            <w:pPr>
              <w:widowControl/>
              <w:numPr>
                <w:ilvl w:val="0"/>
                <w:numId w:val="9"/>
              </w:numPr>
              <w:rPr>
                <w:sz w:val="18"/>
                <w:szCs w:val="18"/>
                <w:lang w:val="fr-FR" w:eastAsia="en-GB"/>
              </w:rPr>
            </w:pPr>
            <w:r w:rsidRPr="00AE7F9E">
              <w:rPr>
                <w:sz w:val="18"/>
                <w:szCs w:val="18"/>
                <w:lang w:val="fr-FR" w:eastAsia="en-GB"/>
              </w:rPr>
              <w:t xml:space="preserve">Certains ingrédients déjà élaborés peuvent contenir un niveau élevé d’acrylamide, propre à influer sur </w:t>
            </w:r>
            <w:r w:rsidR="00466E74" w:rsidRPr="003A748B">
              <w:rPr>
                <w:sz w:val="18"/>
                <w:szCs w:val="18"/>
                <w:lang w:val="fr-FR" w:eastAsia="en-GB"/>
              </w:rPr>
              <w:t>la teneur dans le produit fini</w:t>
            </w:r>
            <w:r w:rsidR="008970E3" w:rsidRPr="00AE7F9E">
              <w:rPr>
                <w:sz w:val="18"/>
                <w:szCs w:val="18"/>
                <w:lang w:val="fr-FR" w:eastAsia="en-GB"/>
              </w:rPr>
              <w:t>.</w:t>
            </w:r>
          </w:p>
          <w:p w:rsidR="006B35F1" w:rsidRPr="00AE7F9E" w:rsidRDefault="00B56E5E" w:rsidP="006B35F1">
            <w:pPr>
              <w:numPr>
                <w:ilvl w:val="0"/>
                <w:numId w:val="10"/>
              </w:numPr>
              <w:rPr>
                <w:sz w:val="18"/>
                <w:szCs w:val="18"/>
                <w:lang w:val="fr-FR"/>
              </w:rPr>
            </w:pPr>
            <w:r w:rsidRPr="00AE7F9E">
              <w:rPr>
                <w:sz w:val="18"/>
                <w:szCs w:val="18"/>
                <w:lang w:val="fr-FR"/>
              </w:rPr>
              <w:t xml:space="preserve">En cas d’utilisation de poudre à lever, le remplacement du bicarbonate d’ammonium par un autre produit peut influer sur le résultat. L’alternative pourrait être le carbonate de potassium  ajouté au tartrate de potassium  ou le </w:t>
            </w:r>
            <w:r w:rsidR="006B35F1" w:rsidRPr="00AE7F9E">
              <w:rPr>
                <w:sz w:val="18"/>
                <w:szCs w:val="18"/>
                <w:lang w:val="fr-FR"/>
              </w:rPr>
              <w:t xml:space="preserve">diphosphate </w:t>
            </w:r>
            <w:r w:rsidR="00AB2C77" w:rsidRPr="00AE7F9E">
              <w:rPr>
                <w:sz w:val="18"/>
                <w:szCs w:val="18"/>
                <w:lang w:val="fr-FR"/>
              </w:rPr>
              <w:t xml:space="preserve"> de disodium </w:t>
            </w:r>
            <w:r w:rsidRPr="00AE7F9E">
              <w:rPr>
                <w:sz w:val="18"/>
                <w:szCs w:val="18"/>
                <w:lang w:val="fr-FR"/>
              </w:rPr>
              <w:t xml:space="preserve">combiné avec le </w:t>
            </w:r>
            <w:r w:rsidR="006B35F1" w:rsidRPr="00AE7F9E">
              <w:rPr>
                <w:sz w:val="18"/>
                <w:szCs w:val="18"/>
                <w:lang w:val="fr-FR"/>
              </w:rPr>
              <w:t>bicarbonate</w:t>
            </w:r>
            <w:r w:rsidRPr="00AE7F9E">
              <w:rPr>
                <w:sz w:val="18"/>
                <w:szCs w:val="18"/>
                <w:lang w:val="fr-FR"/>
              </w:rPr>
              <w:t xml:space="preserve"> de sodium</w:t>
            </w:r>
            <w:r w:rsidR="006B35F1" w:rsidRPr="00AE7F9E">
              <w:rPr>
                <w:sz w:val="18"/>
                <w:szCs w:val="18"/>
                <w:lang w:val="fr-FR"/>
              </w:rPr>
              <w:t>.</w:t>
            </w:r>
          </w:p>
          <w:p w:rsidR="00FB6419" w:rsidRPr="00AE7F9E" w:rsidRDefault="0053751F" w:rsidP="003A5C1A">
            <w:pPr>
              <w:numPr>
                <w:ilvl w:val="0"/>
                <w:numId w:val="10"/>
              </w:numPr>
              <w:rPr>
                <w:sz w:val="18"/>
                <w:szCs w:val="18"/>
                <w:lang w:val="fr-FR"/>
              </w:rPr>
            </w:pPr>
            <w:r w:rsidRPr="00AE7F9E">
              <w:rPr>
                <w:sz w:val="18"/>
                <w:szCs w:val="18"/>
                <w:lang w:val="fr-FR"/>
              </w:rPr>
              <w:t>On a pu constater que l</w:t>
            </w:r>
            <w:r w:rsidR="00AB2C77" w:rsidRPr="00AE7F9E">
              <w:rPr>
                <w:sz w:val="18"/>
                <w:szCs w:val="18"/>
                <w:lang w:val="fr-FR"/>
              </w:rPr>
              <w:t>’addition de sels de calcium (carbonate ou sulfate de calcium</w:t>
            </w:r>
            <w:r w:rsidRPr="00AE7F9E">
              <w:rPr>
                <w:sz w:val="18"/>
                <w:szCs w:val="18"/>
                <w:lang w:val="fr-FR"/>
              </w:rPr>
              <w:t>) réduit</w:t>
            </w:r>
            <w:r w:rsidR="00AB2C77" w:rsidRPr="00AE7F9E">
              <w:rPr>
                <w:sz w:val="18"/>
                <w:szCs w:val="18"/>
                <w:lang w:val="fr-FR"/>
              </w:rPr>
              <w:t xml:space="preserve"> la  </w:t>
            </w:r>
            <w:r w:rsidR="00FB6419" w:rsidRPr="00AE7F9E">
              <w:rPr>
                <w:sz w:val="18"/>
                <w:szCs w:val="18"/>
                <w:lang w:val="fr-FR"/>
              </w:rPr>
              <w:t>formation</w:t>
            </w:r>
            <w:r w:rsidR="00AB2C77" w:rsidRPr="00AE7F9E">
              <w:rPr>
                <w:sz w:val="18"/>
                <w:szCs w:val="18"/>
                <w:lang w:val="fr-FR"/>
              </w:rPr>
              <w:t xml:space="preserve"> d’</w:t>
            </w:r>
            <w:r w:rsidR="00FB6419" w:rsidRPr="00AE7F9E">
              <w:rPr>
                <w:sz w:val="18"/>
                <w:szCs w:val="18"/>
                <w:lang w:val="fr-FR"/>
              </w:rPr>
              <w:t>acrylamide</w:t>
            </w:r>
          </w:p>
          <w:p w:rsidR="003A5C1A" w:rsidRPr="00AE7F9E" w:rsidRDefault="00AB2C77" w:rsidP="003A5C1A">
            <w:pPr>
              <w:numPr>
                <w:ilvl w:val="0"/>
                <w:numId w:val="10"/>
              </w:numPr>
              <w:rPr>
                <w:sz w:val="18"/>
                <w:szCs w:val="18"/>
                <w:lang w:val="fr-FR"/>
              </w:rPr>
            </w:pPr>
            <w:r w:rsidRPr="00AE7F9E">
              <w:rPr>
                <w:sz w:val="18"/>
                <w:szCs w:val="18"/>
                <w:lang w:val="fr-FR"/>
              </w:rPr>
              <w:t>L’ajout d’a</w:t>
            </w:r>
            <w:r w:rsidR="006B35F1" w:rsidRPr="00AE7F9E">
              <w:rPr>
                <w:sz w:val="18"/>
                <w:szCs w:val="18"/>
                <w:lang w:val="fr-FR"/>
              </w:rPr>
              <w:t xml:space="preserve">sparaginase </w:t>
            </w:r>
            <w:r w:rsidRPr="00AE7F9E">
              <w:rPr>
                <w:sz w:val="18"/>
                <w:szCs w:val="18"/>
                <w:lang w:val="fr-FR"/>
              </w:rPr>
              <w:t xml:space="preserve">peut s’avérer efficace surtout pour les </w:t>
            </w:r>
            <w:r w:rsidR="00466E74" w:rsidRPr="003A748B">
              <w:rPr>
                <w:sz w:val="18"/>
                <w:szCs w:val="18"/>
                <w:lang w:val="fr-FR"/>
              </w:rPr>
              <w:t>biscottes</w:t>
            </w:r>
            <w:r w:rsidR="0053751F" w:rsidRPr="00AE7F9E">
              <w:rPr>
                <w:sz w:val="18"/>
                <w:szCs w:val="18"/>
                <w:lang w:val="fr-FR"/>
              </w:rPr>
              <w:t>.</w:t>
            </w:r>
            <w:r w:rsidR="006B35F1" w:rsidRPr="00AE7F9E">
              <w:rPr>
                <w:sz w:val="18"/>
                <w:szCs w:val="18"/>
                <w:lang w:val="fr-FR"/>
              </w:rPr>
              <w:t xml:space="preserve"> </w:t>
            </w:r>
          </w:p>
          <w:p w:rsidR="006B35F1" w:rsidRPr="00A25CD7" w:rsidRDefault="00AE7F9E" w:rsidP="00AE7F9E">
            <w:pPr>
              <w:numPr>
                <w:ilvl w:val="0"/>
                <w:numId w:val="10"/>
              </w:numPr>
              <w:rPr>
                <w:sz w:val="22"/>
                <w:szCs w:val="22"/>
                <w:lang w:val="fr-FR"/>
              </w:rPr>
            </w:pPr>
            <w:r w:rsidRPr="00AE7F9E">
              <w:rPr>
                <w:sz w:val="18"/>
                <w:szCs w:val="18"/>
                <w:lang w:val="fr-FR"/>
              </w:rPr>
              <w:t>La quantité d’acrylamide est</w:t>
            </w:r>
            <w:r>
              <w:rPr>
                <w:lang w:val="fr-FR"/>
              </w:rPr>
              <w:t xml:space="preserve"> </w:t>
            </w:r>
            <w:r w:rsidRPr="00AE7F9E">
              <w:rPr>
                <w:sz w:val="18"/>
                <w:szCs w:val="18"/>
                <w:lang w:val="fr-FR"/>
              </w:rPr>
              <w:t xml:space="preserve">inversement </w:t>
            </w:r>
            <w:r>
              <w:rPr>
                <w:sz w:val="18"/>
                <w:szCs w:val="18"/>
                <w:lang w:val="fr-FR"/>
              </w:rPr>
              <w:t>proportionnelle à la quantité de farine complète contenue dans le produit, mais ceci n’est pas optimal du point de vue nutritionnel ou gustatif</w:t>
            </w:r>
            <w:r w:rsidR="00A25CD7" w:rsidRPr="00AE7F9E">
              <w:rPr>
                <w:sz w:val="18"/>
                <w:szCs w:val="18"/>
                <w:lang w:val="fr-FR"/>
              </w:rPr>
              <w:t>.</w:t>
            </w:r>
          </w:p>
        </w:tc>
        <w:tc>
          <w:tcPr>
            <w:tcW w:w="3544" w:type="dxa"/>
          </w:tcPr>
          <w:p w:rsidR="00E60772" w:rsidRPr="00A25CD7" w:rsidRDefault="00E60772" w:rsidP="00E60772">
            <w:pPr>
              <w:ind w:left="360"/>
              <w:rPr>
                <w:sz w:val="22"/>
                <w:szCs w:val="22"/>
                <w:lang w:val="fr-FR"/>
              </w:rPr>
            </w:pPr>
          </w:p>
          <w:p w:rsidR="00D3227E" w:rsidRPr="003A748B" w:rsidRDefault="00A450A8" w:rsidP="001D55C2">
            <w:pPr>
              <w:numPr>
                <w:ilvl w:val="0"/>
                <w:numId w:val="9"/>
              </w:numPr>
              <w:rPr>
                <w:lang w:val="fr-FR"/>
              </w:rPr>
            </w:pPr>
            <w:r w:rsidRPr="007673AC">
              <w:rPr>
                <w:lang w:val="fr-FR"/>
              </w:rPr>
              <w:t>Cuire à temp</w:t>
            </w:r>
            <w:r w:rsidR="00B56E5E">
              <w:rPr>
                <w:lang w:val="fr-FR"/>
              </w:rPr>
              <w:t>é</w:t>
            </w:r>
            <w:r w:rsidRPr="007673AC">
              <w:rPr>
                <w:lang w:val="fr-FR"/>
              </w:rPr>
              <w:t xml:space="preserve">rature plus basse pendant une durée plus longue, </w:t>
            </w:r>
            <w:r w:rsidR="007673AC" w:rsidRPr="007673AC">
              <w:rPr>
                <w:lang w:val="fr-FR"/>
              </w:rPr>
              <w:t xml:space="preserve">avec </w:t>
            </w:r>
            <w:r w:rsidR="001D55C2" w:rsidRPr="003A748B">
              <w:rPr>
                <w:lang w:val="fr-FR"/>
              </w:rPr>
              <w:t>une</w:t>
            </w:r>
            <w:r w:rsidR="001D55C2">
              <w:rPr>
                <w:lang w:val="fr-FR"/>
              </w:rPr>
              <w:t xml:space="preserve"> </w:t>
            </w:r>
            <w:r w:rsidR="001D55C2" w:rsidRPr="003A748B">
              <w:rPr>
                <w:lang w:val="fr-FR"/>
              </w:rPr>
              <w:t xml:space="preserve">teneur en </w:t>
            </w:r>
            <w:r w:rsidR="006A6874" w:rsidRPr="003A748B">
              <w:rPr>
                <w:lang w:val="fr-FR"/>
              </w:rPr>
              <w:t>eau</w:t>
            </w:r>
            <w:r w:rsidR="001D55C2" w:rsidRPr="003A748B">
              <w:rPr>
                <w:lang w:val="fr-FR"/>
              </w:rPr>
              <w:t xml:space="preserve"> </w:t>
            </w:r>
            <w:r w:rsidR="003A748B" w:rsidRPr="003A748B">
              <w:rPr>
                <w:lang w:val="fr-FR"/>
              </w:rPr>
              <w:t>identique sur le</w:t>
            </w:r>
            <w:r w:rsidR="007673AC" w:rsidRPr="007673AC">
              <w:rPr>
                <w:lang w:val="fr-FR"/>
              </w:rPr>
              <w:t xml:space="preserve"> produit fin</w:t>
            </w:r>
            <w:r w:rsidR="003A748B">
              <w:rPr>
                <w:lang w:val="fr-FR"/>
              </w:rPr>
              <w:t>i</w:t>
            </w:r>
            <w:r w:rsidR="007673AC" w:rsidRPr="007673AC">
              <w:rPr>
                <w:lang w:val="fr-FR"/>
              </w:rPr>
              <w:t xml:space="preserve"> </w:t>
            </w:r>
            <w:r w:rsidR="00B56E5E">
              <w:rPr>
                <w:lang w:val="fr-FR"/>
              </w:rPr>
              <w:t xml:space="preserve">peut s’avérer </w:t>
            </w:r>
            <w:r w:rsidR="007673AC" w:rsidRPr="007673AC">
              <w:rPr>
                <w:lang w:val="fr-FR"/>
              </w:rPr>
              <w:t>une m</w:t>
            </w:r>
            <w:r w:rsidR="00B56E5E">
              <w:rPr>
                <w:lang w:val="fr-FR"/>
              </w:rPr>
              <w:t>é</w:t>
            </w:r>
            <w:r w:rsidR="007673AC" w:rsidRPr="007673AC">
              <w:rPr>
                <w:lang w:val="fr-FR"/>
              </w:rPr>
              <w:t>thod</w:t>
            </w:r>
            <w:r w:rsidR="00B56E5E">
              <w:rPr>
                <w:lang w:val="fr-FR"/>
              </w:rPr>
              <w:t>e</w:t>
            </w:r>
            <w:r w:rsidR="007673AC" w:rsidRPr="007673AC">
              <w:rPr>
                <w:lang w:val="fr-FR"/>
              </w:rPr>
              <w:t xml:space="preserve"> efficace pour réduire le taux d’acrylamide </w:t>
            </w:r>
            <w:r w:rsidR="00B56E5E">
              <w:rPr>
                <w:lang w:val="fr-FR"/>
              </w:rPr>
              <w:t>des</w:t>
            </w:r>
            <w:r w:rsidR="007673AC" w:rsidRPr="007673AC">
              <w:rPr>
                <w:lang w:val="fr-FR"/>
              </w:rPr>
              <w:t xml:space="preserve"> produits</w:t>
            </w:r>
            <w:r w:rsidR="001D55C2">
              <w:rPr>
                <w:lang w:val="fr-FR"/>
              </w:rPr>
              <w:t xml:space="preserve">. </w:t>
            </w:r>
            <w:r w:rsidR="001D55C2" w:rsidRPr="003A748B">
              <w:rPr>
                <w:lang w:val="fr-FR"/>
              </w:rPr>
              <w:t xml:space="preserve">L’appréciation visuelle de la cuisson dépend de la teneur en </w:t>
            </w:r>
            <w:r w:rsidR="006A6874" w:rsidRPr="003A748B">
              <w:rPr>
                <w:lang w:val="fr-FR"/>
              </w:rPr>
              <w:t>eau</w:t>
            </w:r>
            <w:r w:rsidR="001D55C2" w:rsidRPr="003A748B">
              <w:rPr>
                <w:lang w:val="fr-FR"/>
              </w:rPr>
              <w:t>.</w:t>
            </w:r>
            <w:r w:rsidR="00CD30E5" w:rsidRPr="003A748B">
              <w:rPr>
                <w:lang w:val="fr-FR"/>
              </w:rPr>
              <w:t xml:space="preserve"> </w:t>
            </w:r>
          </w:p>
          <w:p w:rsidR="00D3227E" w:rsidRPr="007673AC" w:rsidRDefault="007673AC" w:rsidP="007673AC">
            <w:pPr>
              <w:numPr>
                <w:ilvl w:val="0"/>
                <w:numId w:val="9"/>
              </w:numPr>
              <w:rPr>
                <w:lang w:val="fr-FR"/>
              </w:rPr>
            </w:pPr>
            <w:r w:rsidRPr="007673AC">
              <w:rPr>
                <w:lang w:val="fr-FR"/>
              </w:rPr>
              <w:t>Ajuster le temps et la température en cours de cuisson pour éviter un brunissement excessif de la croûte.</w:t>
            </w:r>
          </w:p>
          <w:p w:rsidR="00A9535D" w:rsidRPr="007673AC" w:rsidRDefault="00A9535D" w:rsidP="00D3227E">
            <w:pPr>
              <w:ind w:left="360"/>
              <w:rPr>
                <w:sz w:val="22"/>
                <w:szCs w:val="22"/>
                <w:lang w:val="fr-FR"/>
              </w:rPr>
            </w:pPr>
          </w:p>
          <w:p w:rsidR="00B9797D" w:rsidRPr="007673AC" w:rsidRDefault="00B9797D" w:rsidP="00CD30E5">
            <w:pPr>
              <w:ind w:left="360"/>
              <w:rPr>
                <w:sz w:val="22"/>
                <w:szCs w:val="22"/>
                <w:lang w:val="fr-FR"/>
              </w:rPr>
            </w:pPr>
          </w:p>
        </w:tc>
        <w:tc>
          <w:tcPr>
            <w:tcW w:w="3402" w:type="dxa"/>
          </w:tcPr>
          <w:p w:rsidR="009A6664" w:rsidRPr="007673AC" w:rsidRDefault="009A6664" w:rsidP="009A6664">
            <w:pPr>
              <w:ind w:left="360"/>
              <w:rPr>
                <w:lang w:val="fr-FR"/>
              </w:rPr>
            </w:pPr>
          </w:p>
          <w:p w:rsidR="00CD30E5" w:rsidRPr="004B5A16" w:rsidRDefault="001D55C2" w:rsidP="00CD30E5">
            <w:pPr>
              <w:numPr>
                <w:ilvl w:val="0"/>
                <w:numId w:val="10"/>
              </w:numPr>
              <w:rPr>
                <w:lang w:val="fr-FR"/>
              </w:rPr>
            </w:pPr>
            <w:r w:rsidRPr="003A748B">
              <w:rPr>
                <w:lang w:val="fr-FR"/>
              </w:rPr>
              <w:t>Il peut y avoir un</w:t>
            </w:r>
            <w:r w:rsidR="00216FE7" w:rsidRPr="003A748B">
              <w:rPr>
                <w:lang w:val="fr-FR"/>
              </w:rPr>
              <w:t xml:space="preserve"> impact sur l</w:t>
            </w:r>
            <w:r w:rsidRPr="003A748B">
              <w:rPr>
                <w:lang w:val="fr-FR"/>
              </w:rPr>
              <w:t>e volume, la saveur ou la texture</w:t>
            </w:r>
            <w:r w:rsidR="00CD30E5" w:rsidRPr="001D55C2">
              <w:rPr>
                <w:lang w:val="fr-FR"/>
              </w:rPr>
              <w:t xml:space="preserve">. </w:t>
            </w:r>
            <w:r w:rsidR="004B5A16" w:rsidRPr="004B5A16">
              <w:rPr>
                <w:lang w:val="fr-FR"/>
              </w:rPr>
              <w:t>Si</w:t>
            </w:r>
            <w:r>
              <w:rPr>
                <w:lang w:val="fr-FR"/>
              </w:rPr>
              <w:t xml:space="preserve"> des sels de sodium sont utilisé</w:t>
            </w:r>
            <w:r w:rsidR="004B5A16" w:rsidRPr="004B5A16">
              <w:rPr>
                <w:lang w:val="fr-FR"/>
              </w:rPr>
              <w:t>s, veiller à ce que le produit final ne contienne pas trop de sel.</w:t>
            </w:r>
          </w:p>
          <w:p w:rsidR="00CD30E5" w:rsidRPr="00A25CD7" w:rsidRDefault="00A25CD7" w:rsidP="00CD30E5">
            <w:pPr>
              <w:numPr>
                <w:ilvl w:val="0"/>
                <w:numId w:val="10"/>
              </w:numPr>
              <w:rPr>
                <w:lang w:val="fr-FR"/>
              </w:rPr>
            </w:pPr>
            <w:r w:rsidRPr="00A25CD7">
              <w:rPr>
                <w:lang w:val="fr-FR"/>
              </w:rPr>
              <w:t>Les produits auront inévitablement une couleur moins foncée, une apparence “moins cuite”.</w:t>
            </w:r>
          </w:p>
          <w:p w:rsidR="00CD30E5" w:rsidRPr="005B20D3" w:rsidRDefault="00A25CD7" w:rsidP="005B20D3">
            <w:pPr>
              <w:numPr>
                <w:ilvl w:val="0"/>
                <w:numId w:val="10"/>
              </w:numPr>
              <w:rPr>
                <w:sz w:val="22"/>
                <w:szCs w:val="22"/>
                <w:lang w:val="fr-FR"/>
              </w:rPr>
            </w:pPr>
            <w:r w:rsidRPr="005B20D3">
              <w:rPr>
                <w:lang w:val="fr-FR"/>
              </w:rPr>
              <w:t xml:space="preserve">Prenez soin de ne pas </w:t>
            </w:r>
            <w:r w:rsidR="005B20D3" w:rsidRPr="005B20D3">
              <w:rPr>
                <w:lang w:val="fr-FR"/>
              </w:rPr>
              <w:t>cuire insuffisamment vos produits afin de ne pas créer de probl</w:t>
            </w:r>
            <w:r w:rsidR="005B20D3">
              <w:rPr>
                <w:lang w:val="fr-FR"/>
              </w:rPr>
              <w:t>è</w:t>
            </w:r>
            <w:r w:rsidR="005B20D3" w:rsidRPr="005B20D3">
              <w:rPr>
                <w:lang w:val="fr-FR"/>
              </w:rPr>
              <w:t>m</w:t>
            </w:r>
            <w:r w:rsidR="005B20D3">
              <w:rPr>
                <w:lang w:val="fr-FR"/>
              </w:rPr>
              <w:t>es</w:t>
            </w:r>
            <w:r w:rsidR="005B20D3" w:rsidRPr="005B20D3">
              <w:rPr>
                <w:lang w:val="fr-FR"/>
              </w:rPr>
              <w:t xml:space="preserve"> microbiologiques lors du stockage.</w:t>
            </w:r>
            <w:r w:rsidR="005B20D3" w:rsidRPr="005B20D3">
              <w:rPr>
                <w:sz w:val="22"/>
                <w:szCs w:val="22"/>
                <w:lang w:val="fr-FR"/>
              </w:rPr>
              <w:t xml:space="preserve"> </w:t>
            </w:r>
          </w:p>
        </w:tc>
      </w:tr>
    </w:tbl>
    <w:p w:rsidR="00A9535D" w:rsidRDefault="00A9535D" w:rsidP="00927D2B">
      <w:pPr>
        <w:rPr>
          <w:sz w:val="24"/>
          <w:szCs w:val="24"/>
          <w:lang w:val="fr-FR"/>
        </w:rPr>
      </w:pPr>
    </w:p>
    <w:p w:rsidR="001D55C2" w:rsidRPr="005C2B91" w:rsidRDefault="001D55C2" w:rsidP="001D55C2">
      <w:pPr>
        <w:jc w:val="both"/>
        <w:textAlignment w:val="top"/>
        <w:rPr>
          <w:sz w:val="18"/>
          <w:szCs w:val="18"/>
          <w:lang w:val="fr-FR"/>
        </w:rPr>
      </w:pPr>
      <w:r w:rsidRPr="005C2B91">
        <w:rPr>
          <w:sz w:val="18"/>
          <w:szCs w:val="18"/>
          <w:lang w:val="fr-FR"/>
        </w:rPr>
        <w:t>NB : Des études sur le pain français</w:t>
      </w:r>
      <w:r w:rsidR="005D3282" w:rsidRPr="005C2B91">
        <w:rPr>
          <w:sz w:val="18"/>
          <w:szCs w:val="18"/>
          <w:lang w:val="fr-FR"/>
        </w:rPr>
        <w:t xml:space="preserve">, </w:t>
      </w:r>
      <w:r w:rsidRPr="005C2B91">
        <w:rPr>
          <w:sz w:val="18"/>
          <w:szCs w:val="18"/>
          <w:lang w:val="fr-FR"/>
        </w:rPr>
        <w:t>menées en 2003 et 2005</w:t>
      </w:r>
      <w:r w:rsidR="005D3282" w:rsidRPr="005C2B91">
        <w:rPr>
          <w:sz w:val="18"/>
          <w:szCs w:val="18"/>
          <w:lang w:val="fr-FR"/>
        </w:rPr>
        <w:t xml:space="preserve">, </w:t>
      </w:r>
      <w:r w:rsidRPr="005C2B91">
        <w:rPr>
          <w:sz w:val="18"/>
          <w:szCs w:val="18"/>
          <w:lang w:val="fr-FR"/>
        </w:rPr>
        <w:t>montrent que :</w:t>
      </w:r>
    </w:p>
    <w:p w:rsidR="001D55C2" w:rsidRPr="005C2B91" w:rsidRDefault="005D3282" w:rsidP="001D55C2">
      <w:pPr>
        <w:pStyle w:val="ListParagraph"/>
        <w:numPr>
          <w:ilvl w:val="0"/>
          <w:numId w:val="15"/>
        </w:numPr>
        <w:ind w:left="284"/>
        <w:jc w:val="both"/>
        <w:textAlignment w:val="top"/>
        <w:rPr>
          <w:rFonts w:ascii="Arial" w:hAnsi="Arial" w:cs="Arial"/>
          <w:sz w:val="18"/>
          <w:szCs w:val="18"/>
          <w:lang w:val="fr-FR"/>
        </w:rPr>
      </w:pPr>
      <w:r w:rsidRPr="005C2B91">
        <w:rPr>
          <w:rFonts w:ascii="Arial" w:hAnsi="Arial" w:cs="Arial"/>
          <w:sz w:val="18"/>
          <w:szCs w:val="18"/>
          <w:lang w:val="fr-FR"/>
        </w:rPr>
        <w:t>L</w:t>
      </w:r>
      <w:r w:rsidR="001D55C2" w:rsidRPr="005C2B91">
        <w:rPr>
          <w:rFonts w:ascii="Arial" w:hAnsi="Arial" w:cs="Arial"/>
          <w:sz w:val="18"/>
          <w:szCs w:val="18"/>
          <w:lang w:val="fr-FR"/>
        </w:rPr>
        <w:t xml:space="preserve">es pains français ont un faible niveau d'acrylamide : la moyenne est </w:t>
      </w:r>
      <w:r w:rsidR="001D55C2" w:rsidRPr="005C2B91">
        <w:rPr>
          <w:rFonts w:ascii="Arial" w:hAnsi="Arial" w:cs="Arial"/>
          <w:b/>
          <w:sz w:val="18"/>
          <w:szCs w:val="18"/>
          <w:lang w:val="fr-FR"/>
        </w:rPr>
        <w:t>de 29 µg / kg et n’est jamais &gt; 49 µg / kg</w:t>
      </w:r>
      <w:r w:rsidR="001D55C2" w:rsidRPr="005C2B91">
        <w:rPr>
          <w:rFonts w:ascii="Arial" w:hAnsi="Arial" w:cs="Arial"/>
          <w:sz w:val="18"/>
          <w:szCs w:val="18"/>
          <w:lang w:val="fr-FR"/>
        </w:rPr>
        <w:t xml:space="preserve"> . </w:t>
      </w:r>
    </w:p>
    <w:p w:rsidR="001D55C2" w:rsidRPr="005C2B91" w:rsidRDefault="001D55C2" w:rsidP="001D55C2">
      <w:pPr>
        <w:widowControl/>
        <w:numPr>
          <w:ilvl w:val="0"/>
          <w:numId w:val="15"/>
        </w:numPr>
        <w:autoSpaceDE/>
        <w:autoSpaceDN/>
        <w:adjustRightInd/>
        <w:ind w:left="284"/>
        <w:jc w:val="both"/>
        <w:textAlignment w:val="top"/>
        <w:rPr>
          <w:sz w:val="18"/>
          <w:szCs w:val="18"/>
          <w:lang w:val="fr-FR"/>
        </w:rPr>
      </w:pPr>
      <w:r w:rsidRPr="005C2B91">
        <w:rPr>
          <w:sz w:val="18"/>
          <w:szCs w:val="18"/>
          <w:lang w:val="fr-FR"/>
        </w:rPr>
        <w:t xml:space="preserve">Les </w:t>
      </w:r>
      <w:r w:rsidRPr="005C2B91">
        <w:rPr>
          <w:b/>
          <w:sz w:val="18"/>
          <w:szCs w:val="18"/>
          <w:lang w:val="fr-FR"/>
        </w:rPr>
        <w:t>pains français ont des caractéristiques très spécifiques lié</w:t>
      </w:r>
      <w:r w:rsidR="005D3282" w:rsidRPr="005C2B91">
        <w:rPr>
          <w:b/>
          <w:sz w:val="18"/>
          <w:szCs w:val="18"/>
          <w:lang w:val="fr-FR"/>
        </w:rPr>
        <w:t>e</w:t>
      </w:r>
      <w:r w:rsidRPr="005C2B91">
        <w:rPr>
          <w:b/>
          <w:sz w:val="18"/>
          <w:szCs w:val="18"/>
          <w:lang w:val="fr-FR"/>
        </w:rPr>
        <w:t>s à leur processus de fabrication et aux ingrédients les composants</w:t>
      </w:r>
      <w:r w:rsidRPr="005C2B91">
        <w:rPr>
          <w:sz w:val="18"/>
          <w:szCs w:val="18"/>
          <w:lang w:val="fr-FR"/>
        </w:rPr>
        <w:t>.  Les pains français sont fabriqués avec de la farine, du sel, de l’eau, des additifs alimentaires (interdit pour les pains «tradition») et sans sucre, oeufs et ni beurre. Les pains spéciaux français peuvent contenir en outre des graines, du son, de la farine de seigle ...</w:t>
      </w:r>
    </w:p>
    <w:p w:rsidR="001D55C2" w:rsidRPr="005C2B91" w:rsidRDefault="005D3282" w:rsidP="001D55C2">
      <w:pPr>
        <w:widowControl/>
        <w:numPr>
          <w:ilvl w:val="0"/>
          <w:numId w:val="15"/>
        </w:numPr>
        <w:autoSpaceDE/>
        <w:autoSpaceDN/>
        <w:adjustRightInd/>
        <w:ind w:left="284"/>
        <w:jc w:val="both"/>
        <w:textAlignment w:val="top"/>
        <w:rPr>
          <w:sz w:val="18"/>
          <w:szCs w:val="18"/>
          <w:lang w:val="fr-FR"/>
        </w:rPr>
      </w:pPr>
      <w:r w:rsidRPr="005C2B91">
        <w:rPr>
          <w:sz w:val="18"/>
          <w:szCs w:val="18"/>
          <w:lang w:val="fr-FR"/>
        </w:rPr>
        <w:t>Une</w:t>
      </w:r>
      <w:r w:rsidR="001D55C2" w:rsidRPr="005C2B91">
        <w:rPr>
          <w:sz w:val="18"/>
          <w:szCs w:val="18"/>
          <w:lang w:val="fr-FR"/>
        </w:rPr>
        <w:t xml:space="preserve"> évaluation des risques permet de confirmer que </w:t>
      </w:r>
      <w:r w:rsidR="001D55C2" w:rsidRPr="005C2B91">
        <w:rPr>
          <w:b/>
          <w:sz w:val="18"/>
          <w:szCs w:val="18"/>
          <w:lang w:val="fr-FR"/>
        </w:rPr>
        <w:t xml:space="preserve">le niveau d'acrylamide dans les pains français </w:t>
      </w:r>
      <w:r w:rsidR="003A748B" w:rsidRPr="005C2B91">
        <w:rPr>
          <w:b/>
          <w:sz w:val="18"/>
          <w:szCs w:val="18"/>
          <w:lang w:val="fr-FR"/>
        </w:rPr>
        <w:t>se situe largement en dessous du seuil dans les projets réglementaires</w:t>
      </w:r>
      <w:r w:rsidR="001D55C2" w:rsidRPr="005C2B91">
        <w:rPr>
          <w:sz w:val="18"/>
          <w:szCs w:val="18"/>
          <w:lang w:val="fr-FR"/>
        </w:rPr>
        <w:t xml:space="preserve">. </w:t>
      </w:r>
    </w:p>
    <w:sectPr w:rsidR="001D55C2" w:rsidRPr="005C2B91" w:rsidSect="00286A22">
      <w:type w:val="continuous"/>
      <w:pgSz w:w="16838" w:h="11906" w:orient="landscape"/>
      <w:pgMar w:top="238" w:right="851" w:bottom="284" w:left="851" w:header="709" w:footer="4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99" w:rsidRDefault="004D2599">
      <w:r>
        <w:separator/>
      </w:r>
    </w:p>
  </w:endnote>
  <w:endnote w:type="continuationSeparator" w:id="0">
    <w:p w:rsidR="004D2599" w:rsidRDefault="004D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22" w:rsidRDefault="00286A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51" w:rsidRPr="00286A22" w:rsidRDefault="00286A22" w:rsidP="00286A22">
    <w:pPr>
      <w:pStyle w:val="Footer"/>
      <w:jc w:val="right"/>
      <w:rPr>
        <w:rFonts w:cs="Arial"/>
        <w:color w:val="333399"/>
        <w:sz w:val="18"/>
      </w:rPr>
    </w:pPr>
    <w:r w:rsidRPr="00286A22">
      <w:rPr>
        <w:rFonts w:cs="Arial"/>
        <w:color w:val="333399"/>
        <w:sz w:val="18"/>
      </w:rPr>
      <w:fldChar w:fldCharType="begin"/>
    </w:r>
    <w:r w:rsidRPr="00286A22">
      <w:rPr>
        <w:rFonts w:cs="Arial"/>
        <w:color w:val="333399"/>
        <w:sz w:val="18"/>
      </w:rPr>
      <w:instrText xml:space="preserve"> PAGE \* MERGEFORMAT </w:instrText>
    </w:r>
    <w:r w:rsidRPr="00286A22">
      <w:rPr>
        <w:rFonts w:cs="Arial"/>
        <w:color w:val="333399"/>
        <w:sz w:val="18"/>
      </w:rPr>
      <w:fldChar w:fldCharType="separate"/>
    </w:r>
    <w:r w:rsidR="009C3951">
      <w:rPr>
        <w:rFonts w:cs="Arial"/>
        <w:noProof/>
        <w:color w:val="333399"/>
        <w:sz w:val="18"/>
      </w:rPr>
      <w:t>2</w:t>
    </w:r>
    <w:r w:rsidRPr="00286A22">
      <w:rPr>
        <w:rFonts w:cs="Arial"/>
        <w:color w:val="333399"/>
        <w:sz w:val="18"/>
      </w:rPr>
      <w:fldChar w:fldCharType="end"/>
    </w:r>
    <w:r w:rsidRPr="00286A22">
      <w:rPr>
        <w:rFonts w:cs="Arial"/>
        <w:color w:val="333399"/>
        <w:sz w:val="18"/>
      </w:rPr>
      <w:t>/</w:t>
    </w:r>
    <w:r w:rsidRPr="00286A22">
      <w:rPr>
        <w:rFonts w:cs="Arial"/>
        <w:color w:val="333399"/>
        <w:sz w:val="18"/>
      </w:rPr>
      <w:fldChar w:fldCharType="begin"/>
    </w:r>
    <w:r w:rsidRPr="00286A22">
      <w:rPr>
        <w:rFonts w:cs="Arial"/>
        <w:color w:val="333399"/>
        <w:sz w:val="18"/>
      </w:rPr>
      <w:instrText xml:space="preserve"> NUMPAGES \* MERGEFORMAT </w:instrText>
    </w:r>
    <w:r w:rsidRPr="00286A22">
      <w:rPr>
        <w:rFonts w:cs="Arial"/>
        <w:color w:val="333399"/>
        <w:sz w:val="18"/>
      </w:rPr>
      <w:fldChar w:fldCharType="separate"/>
    </w:r>
    <w:r w:rsidR="009C3951">
      <w:rPr>
        <w:rFonts w:cs="Arial"/>
        <w:noProof/>
        <w:color w:val="333399"/>
        <w:sz w:val="18"/>
      </w:rPr>
      <w:t>3</w:t>
    </w:r>
    <w:r w:rsidRPr="00286A22">
      <w:rPr>
        <w:rFonts w:cs="Arial"/>
        <w:color w:val="333399"/>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22" w:rsidRPr="00DE0AAD" w:rsidRDefault="00286A22" w:rsidP="00286A22">
    <w:pPr>
      <w:pStyle w:val="Footer"/>
      <w:rPr>
        <w:rFonts w:cs="Arial"/>
        <w:color w:val="333399"/>
        <w:sz w:val="18"/>
        <w:lang w:val="fr-BE"/>
      </w:rPr>
    </w:pPr>
    <w:r w:rsidRPr="00DE0AAD">
      <w:rPr>
        <w:rFonts w:cs="Arial"/>
        <w:color w:val="333399"/>
        <w:sz w:val="18"/>
        <w:lang w:val="fr-BE"/>
      </w:rPr>
      <w:t>Avenue des Arts, 43 - 1040 Brussels - BELGIUM - Tel. +32 2 514 11 11 - Fax. +32 2 511 29 05</w:t>
    </w:r>
  </w:p>
  <w:p w:rsidR="00176651" w:rsidRPr="00DE0AAD" w:rsidRDefault="00286A22" w:rsidP="00286A22">
    <w:pPr>
      <w:pStyle w:val="Footer"/>
      <w:rPr>
        <w:rFonts w:cs="Arial"/>
        <w:color w:val="333399"/>
        <w:sz w:val="18"/>
        <w:lang w:val="fr-BE"/>
      </w:rPr>
    </w:pPr>
    <w:r w:rsidRPr="00DE0AAD">
      <w:rPr>
        <w:rFonts w:cs="Arial"/>
        <w:color w:val="333399"/>
        <w:sz w:val="18"/>
        <w:lang w:val="fr-BE"/>
      </w:rPr>
      <w:t>info@fooddrinkeurope.eu - www.fooddrinkeurope.eu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99" w:rsidRDefault="004D2599">
      <w:r>
        <w:separator/>
      </w:r>
    </w:p>
  </w:footnote>
  <w:footnote w:type="continuationSeparator" w:id="0">
    <w:p w:rsidR="004D2599" w:rsidRDefault="004D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22" w:rsidRDefault="00286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3118"/>
    </w:tblGrid>
    <w:tr w:rsidR="00286A22" w:rsidRPr="00286A22" w:rsidTr="00286A22">
      <w:tc>
        <w:tcPr>
          <w:tcW w:w="0" w:type="auto"/>
          <w:shd w:val="clear" w:color="auto" w:fill="auto"/>
        </w:tcPr>
        <w:p w:rsidR="00286A22" w:rsidRPr="00286A22" w:rsidRDefault="00286A22" w:rsidP="00286A22">
          <w:pPr>
            <w:pStyle w:val="Header"/>
            <w:jc w:val="right"/>
            <w:rPr>
              <w:sz w:val="18"/>
            </w:rPr>
          </w:pPr>
          <w:r w:rsidRPr="00286A22">
            <w:rPr>
              <w:noProof/>
              <w:sz w:val="18"/>
            </w:rPr>
            <w:drawing>
              <wp:inline distT="0" distB="0" distL="0" distR="0" wp14:anchorId="7B2AEEFB" wp14:editId="391EFD5C">
                <wp:extent cx="4114800" cy="8477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114800" cy="847725"/>
                        </a:xfrm>
                        <a:prstGeom prst="rect">
                          <a:avLst/>
                        </a:prstGeom>
                      </pic:spPr>
                    </pic:pic>
                  </a:graphicData>
                </a:graphic>
              </wp:inline>
            </w:drawing>
          </w:r>
        </w:p>
      </w:tc>
      <w:tc>
        <w:tcPr>
          <w:tcW w:w="0" w:type="auto"/>
          <w:shd w:val="clear" w:color="auto" w:fill="auto"/>
        </w:tcPr>
        <w:p w:rsidR="00286A22" w:rsidRPr="00286A22" w:rsidRDefault="00286A22" w:rsidP="00286A22">
          <w:pPr>
            <w:pStyle w:val="Header"/>
            <w:jc w:val="right"/>
            <w:rPr>
              <w:sz w:val="18"/>
            </w:rPr>
          </w:pPr>
        </w:p>
        <w:p w:rsidR="00286A22" w:rsidRPr="00286A22" w:rsidRDefault="00286A22" w:rsidP="00286A22">
          <w:pPr>
            <w:pStyle w:val="Header"/>
            <w:jc w:val="right"/>
            <w:rPr>
              <w:sz w:val="18"/>
            </w:rPr>
          </w:pPr>
        </w:p>
        <w:p w:rsidR="00286A22" w:rsidRPr="00286A22" w:rsidRDefault="00286A22" w:rsidP="00286A22">
          <w:pPr>
            <w:pStyle w:val="Header"/>
            <w:jc w:val="right"/>
            <w:rPr>
              <w:sz w:val="18"/>
            </w:rPr>
          </w:pPr>
          <w:r w:rsidRPr="00286A22">
            <w:rPr>
              <w:sz w:val="18"/>
            </w:rPr>
            <w:t xml:space="preserve"> Annex 14  to FCP/AATEC/031/11E-</w:t>
          </w:r>
        </w:p>
      </w:tc>
    </w:tr>
  </w:tbl>
  <w:p w:rsidR="00176651" w:rsidRPr="00286A22" w:rsidRDefault="00176651" w:rsidP="00286A22">
    <w:pPr>
      <w:pStyle w:val="Header"/>
      <w:jc w:val="righ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7676"/>
    </w:tblGrid>
    <w:tr w:rsidR="00286A22" w:rsidRPr="00286A22" w:rsidTr="00286A22">
      <w:tc>
        <w:tcPr>
          <w:tcW w:w="7676" w:type="dxa"/>
          <w:shd w:val="clear" w:color="auto" w:fill="auto"/>
        </w:tcPr>
        <w:p w:rsidR="00286A22" w:rsidRPr="00286A22" w:rsidRDefault="00286A22" w:rsidP="00286A22">
          <w:pPr>
            <w:pStyle w:val="Header"/>
            <w:jc w:val="right"/>
            <w:rPr>
              <w:sz w:val="18"/>
            </w:rPr>
          </w:pPr>
          <w:r w:rsidRPr="00286A22">
            <w:rPr>
              <w:noProof/>
              <w:sz w:val="18"/>
            </w:rPr>
            <w:drawing>
              <wp:inline distT="0" distB="0" distL="0" distR="0" wp14:anchorId="74EA74BB" wp14:editId="618D209E">
                <wp:extent cx="4114800" cy="16859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114800" cy="1685925"/>
                        </a:xfrm>
                        <a:prstGeom prst="rect">
                          <a:avLst/>
                        </a:prstGeom>
                      </pic:spPr>
                    </pic:pic>
                  </a:graphicData>
                </a:graphic>
              </wp:inline>
            </w:drawing>
          </w:r>
        </w:p>
      </w:tc>
      <w:tc>
        <w:tcPr>
          <w:tcW w:w="7676" w:type="dxa"/>
          <w:shd w:val="clear" w:color="auto" w:fill="auto"/>
        </w:tcPr>
        <w:p w:rsidR="00286A22" w:rsidRPr="00286A22" w:rsidRDefault="00286A22" w:rsidP="00286A22">
          <w:pPr>
            <w:pStyle w:val="Header"/>
            <w:jc w:val="right"/>
            <w:rPr>
              <w:sz w:val="18"/>
            </w:rPr>
          </w:pPr>
        </w:p>
        <w:p w:rsidR="00286A22" w:rsidRPr="00286A22" w:rsidRDefault="00286A22" w:rsidP="00286A22">
          <w:pPr>
            <w:pStyle w:val="Header"/>
            <w:jc w:val="right"/>
            <w:rPr>
              <w:sz w:val="18"/>
            </w:rPr>
          </w:pPr>
        </w:p>
        <w:p w:rsidR="00286A22" w:rsidRPr="00286A22" w:rsidRDefault="00286A22" w:rsidP="00286A22">
          <w:pPr>
            <w:pStyle w:val="Header"/>
            <w:jc w:val="right"/>
            <w:rPr>
              <w:sz w:val="18"/>
            </w:rPr>
          </w:pPr>
          <w:r w:rsidRPr="00286A22">
            <w:rPr>
              <w:sz w:val="18"/>
            </w:rPr>
            <w:t xml:space="preserve"> Annex 14  to FCP/AATEC/031/11E-</w:t>
          </w:r>
        </w:p>
      </w:tc>
    </w:tr>
  </w:tbl>
  <w:p w:rsidR="00176651" w:rsidRPr="00286A22" w:rsidRDefault="00176651" w:rsidP="00286A22">
    <w:pPr>
      <w:pStyle w:val="Heade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E5B"/>
    <w:multiLevelType w:val="hybridMultilevel"/>
    <w:tmpl w:val="457E42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A13587"/>
    <w:multiLevelType w:val="hybridMultilevel"/>
    <w:tmpl w:val="564863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CD129A"/>
    <w:multiLevelType w:val="hybridMultilevel"/>
    <w:tmpl w:val="8BF00142"/>
    <w:lvl w:ilvl="0" w:tplc="B4222A74">
      <w:start w:val="1"/>
      <w:numFmt w:val="bullet"/>
      <w:lvlText w:val="•"/>
      <w:lvlJc w:val="left"/>
      <w:pPr>
        <w:tabs>
          <w:tab w:val="num" w:pos="720"/>
        </w:tabs>
        <w:ind w:left="720" w:hanging="360"/>
      </w:pPr>
      <w:rPr>
        <w:rFonts w:ascii="Arial" w:hAnsi="Arial" w:hint="default"/>
      </w:rPr>
    </w:lvl>
    <w:lvl w:ilvl="1" w:tplc="31501FB0" w:tentative="1">
      <w:start w:val="1"/>
      <w:numFmt w:val="bullet"/>
      <w:lvlText w:val="•"/>
      <w:lvlJc w:val="left"/>
      <w:pPr>
        <w:tabs>
          <w:tab w:val="num" w:pos="1440"/>
        </w:tabs>
        <w:ind w:left="1440" w:hanging="360"/>
      </w:pPr>
      <w:rPr>
        <w:rFonts w:ascii="Arial" w:hAnsi="Arial" w:hint="default"/>
      </w:rPr>
    </w:lvl>
    <w:lvl w:ilvl="2" w:tplc="E74CD36A" w:tentative="1">
      <w:start w:val="1"/>
      <w:numFmt w:val="bullet"/>
      <w:lvlText w:val="•"/>
      <w:lvlJc w:val="left"/>
      <w:pPr>
        <w:tabs>
          <w:tab w:val="num" w:pos="2160"/>
        </w:tabs>
        <w:ind w:left="2160" w:hanging="360"/>
      </w:pPr>
      <w:rPr>
        <w:rFonts w:ascii="Arial" w:hAnsi="Arial" w:hint="default"/>
      </w:rPr>
    </w:lvl>
    <w:lvl w:ilvl="3" w:tplc="17E647F0" w:tentative="1">
      <w:start w:val="1"/>
      <w:numFmt w:val="bullet"/>
      <w:lvlText w:val="•"/>
      <w:lvlJc w:val="left"/>
      <w:pPr>
        <w:tabs>
          <w:tab w:val="num" w:pos="2880"/>
        </w:tabs>
        <w:ind w:left="2880" w:hanging="360"/>
      </w:pPr>
      <w:rPr>
        <w:rFonts w:ascii="Arial" w:hAnsi="Arial" w:hint="default"/>
      </w:rPr>
    </w:lvl>
    <w:lvl w:ilvl="4" w:tplc="2F3C68A2" w:tentative="1">
      <w:start w:val="1"/>
      <w:numFmt w:val="bullet"/>
      <w:lvlText w:val="•"/>
      <w:lvlJc w:val="left"/>
      <w:pPr>
        <w:tabs>
          <w:tab w:val="num" w:pos="3600"/>
        </w:tabs>
        <w:ind w:left="3600" w:hanging="360"/>
      </w:pPr>
      <w:rPr>
        <w:rFonts w:ascii="Arial" w:hAnsi="Arial" w:hint="default"/>
      </w:rPr>
    </w:lvl>
    <w:lvl w:ilvl="5" w:tplc="7908A84E" w:tentative="1">
      <w:start w:val="1"/>
      <w:numFmt w:val="bullet"/>
      <w:lvlText w:val="•"/>
      <w:lvlJc w:val="left"/>
      <w:pPr>
        <w:tabs>
          <w:tab w:val="num" w:pos="4320"/>
        </w:tabs>
        <w:ind w:left="4320" w:hanging="360"/>
      </w:pPr>
      <w:rPr>
        <w:rFonts w:ascii="Arial" w:hAnsi="Arial" w:hint="default"/>
      </w:rPr>
    </w:lvl>
    <w:lvl w:ilvl="6" w:tplc="37D438F8" w:tentative="1">
      <w:start w:val="1"/>
      <w:numFmt w:val="bullet"/>
      <w:lvlText w:val="•"/>
      <w:lvlJc w:val="left"/>
      <w:pPr>
        <w:tabs>
          <w:tab w:val="num" w:pos="5040"/>
        </w:tabs>
        <w:ind w:left="5040" w:hanging="360"/>
      </w:pPr>
      <w:rPr>
        <w:rFonts w:ascii="Arial" w:hAnsi="Arial" w:hint="default"/>
      </w:rPr>
    </w:lvl>
    <w:lvl w:ilvl="7" w:tplc="D3BA31C8" w:tentative="1">
      <w:start w:val="1"/>
      <w:numFmt w:val="bullet"/>
      <w:lvlText w:val="•"/>
      <w:lvlJc w:val="left"/>
      <w:pPr>
        <w:tabs>
          <w:tab w:val="num" w:pos="5760"/>
        </w:tabs>
        <w:ind w:left="5760" w:hanging="360"/>
      </w:pPr>
      <w:rPr>
        <w:rFonts w:ascii="Arial" w:hAnsi="Arial" w:hint="default"/>
      </w:rPr>
    </w:lvl>
    <w:lvl w:ilvl="8" w:tplc="278ED564" w:tentative="1">
      <w:start w:val="1"/>
      <w:numFmt w:val="bullet"/>
      <w:lvlText w:val="•"/>
      <w:lvlJc w:val="left"/>
      <w:pPr>
        <w:tabs>
          <w:tab w:val="num" w:pos="6480"/>
        </w:tabs>
        <w:ind w:left="6480" w:hanging="360"/>
      </w:pPr>
      <w:rPr>
        <w:rFonts w:ascii="Arial" w:hAnsi="Arial" w:hint="default"/>
      </w:rPr>
    </w:lvl>
  </w:abstractNum>
  <w:abstractNum w:abstractNumId="3">
    <w:nsid w:val="25E32BAA"/>
    <w:multiLevelType w:val="hybridMultilevel"/>
    <w:tmpl w:val="BBA656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4B84172"/>
    <w:multiLevelType w:val="hybridMultilevel"/>
    <w:tmpl w:val="F5426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787685B"/>
    <w:multiLevelType w:val="hybridMultilevel"/>
    <w:tmpl w:val="7B90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A0770E8"/>
    <w:multiLevelType w:val="hybridMultilevel"/>
    <w:tmpl w:val="7FCC1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19F270C"/>
    <w:multiLevelType w:val="hybridMultilevel"/>
    <w:tmpl w:val="89B0BC7C"/>
    <w:lvl w:ilvl="0" w:tplc="84567260">
      <w:start w:val="1"/>
      <w:numFmt w:val="bullet"/>
      <w:lvlText w:val="•"/>
      <w:lvlJc w:val="left"/>
      <w:pPr>
        <w:tabs>
          <w:tab w:val="num" w:pos="720"/>
        </w:tabs>
        <w:ind w:left="720" w:hanging="360"/>
      </w:pPr>
      <w:rPr>
        <w:rFonts w:ascii="Arial" w:hAnsi="Arial" w:hint="default"/>
      </w:rPr>
    </w:lvl>
    <w:lvl w:ilvl="1" w:tplc="4C34CE66" w:tentative="1">
      <w:start w:val="1"/>
      <w:numFmt w:val="bullet"/>
      <w:lvlText w:val="•"/>
      <w:lvlJc w:val="left"/>
      <w:pPr>
        <w:tabs>
          <w:tab w:val="num" w:pos="1440"/>
        </w:tabs>
        <w:ind w:left="1440" w:hanging="360"/>
      </w:pPr>
      <w:rPr>
        <w:rFonts w:ascii="Arial" w:hAnsi="Arial" w:hint="default"/>
      </w:rPr>
    </w:lvl>
    <w:lvl w:ilvl="2" w:tplc="D19AB33E" w:tentative="1">
      <w:start w:val="1"/>
      <w:numFmt w:val="bullet"/>
      <w:lvlText w:val="•"/>
      <w:lvlJc w:val="left"/>
      <w:pPr>
        <w:tabs>
          <w:tab w:val="num" w:pos="2160"/>
        </w:tabs>
        <w:ind w:left="2160" w:hanging="360"/>
      </w:pPr>
      <w:rPr>
        <w:rFonts w:ascii="Arial" w:hAnsi="Arial" w:hint="default"/>
      </w:rPr>
    </w:lvl>
    <w:lvl w:ilvl="3" w:tplc="D94A8BB6" w:tentative="1">
      <w:start w:val="1"/>
      <w:numFmt w:val="bullet"/>
      <w:lvlText w:val="•"/>
      <w:lvlJc w:val="left"/>
      <w:pPr>
        <w:tabs>
          <w:tab w:val="num" w:pos="2880"/>
        </w:tabs>
        <w:ind w:left="2880" w:hanging="360"/>
      </w:pPr>
      <w:rPr>
        <w:rFonts w:ascii="Arial" w:hAnsi="Arial" w:hint="default"/>
      </w:rPr>
    </w:lvl>
    <w:lvl w:ilvl="4" w:tplc="3716BFF8" w:tentative="1">
      <w:start w:val="1"/>
      <w:numFmt w:val="bullet"/>
      <w:lvlText w:val="•"/>
      <w:lvlJc w:val="left"/>
      <w:pPr>
        <w:tabs>
          <w:tab w:val="num" w:pos="3600"/>
        </w:tabs>
        <w:ind w:left="3600" w:hanging="360"/>
      </w:pPr>
      <w:rPr>
        <w:rFonts w:ascii="Arial" w:hAnsi="Arial" w:hint="default"/>
      </w:rPr>
    </w:lvl>
    <w:lvl w:ilvl="5" w:tplc="010EC538" w:tentative="1">
      <w:start w:val="1"/>
      <w:numFmt w:val="bullet"/>
      <w:lvlText w:val="•"/>
      <w:lvlJc w:val="left"/>
      <w:pPr>
        <w:tabs>
          <w:tab w:val="num" w:pos="4320"/>
        </w:tabs>
        <w:ind w:left="4320" w:hanging="360"/>
      </w:pPr>
      <w:rPr>
        <w:rFonts w:ascii="Arial" w:hAnsi="Arial" w:hint="default"/>
      </w:rPr>
    </w:lvl>
    <w:lvl w:ilvl="6" w:tplc="94728568" w:tentative="1">
      <w:start w:val="1"/>
      <w:numFmt w:val="bullet"/>
      <w:lvlText w:val="•"/>
      <w:lvlJc w:val="left"/>
      <w:pPr>
        <w:tabs>
          <w:tab w:val="num" w:pos="5040"/>
        </w:tabs>
        <w:ind w:left="5040" w:hanging="360"/>
      </w:pPr>
      <w:rPr>
        <w:rFonts w:ascii="Arial" w:hAnsi="Arial" w:hint="default"/>
      </w:rPr>
    </w:lvl>
    <w:lvl w:ilvl="7" w:tplc="7374CA56" w:tentative="1">
      <w:start w:val="1"/>
      <w:numFmt w:val="bullet"/>
      <w:lvlText w:val="•"/>
      <w:lvlJc w:val="left"/>
      <w:pPr>
        <w:tabs>
          <w:tab w:val="num" w:pos="5760"/>
        </w:tabs>
        <w:ind w:left="5760" w:hanging="360"/>
      </w:pPr>
      <w:rPr>
        <w:rFonts w:ascii="Arial" w:hAnsi="Arial" w:hint="default"/>
      </w:rPr>
    </w:lvl>
    <w:lvl w:ilvl="8" w:tplc="CDC6D310" w:tentative="1">
      <w:start w:val="1"/>
      <w:numFmt w:val="bullet"/>
      <w:lvlText w:val="•"/>
      <w:lvlJc w:val="left"/>
      <w:pPr>
        <w:tabs>
          <w:tab w:val="num" w:pos="6480"/>
        </w:tabs>
        <w:ind w:left="6480" w:hanging="360"/>
      </w:pPr>
      <w:rPr>
        <w:rFonts w:ascii="Arial" w:hAnsi="Arial" w:hint="default"/>
      </w:rPr>
    </w:lvl>
  </w:abstractNum>
  <w:abstractNum w:abstractNumId="8">
    <w:nsid w:val="45243944"/>
    <w:multiLevelType w:val="hybridMultilevel"/>
    <w:tmpl w:val="97620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2E44BA"/>
    <w:multiLevelType w:val="multilevel"/>
    <w:tmpl w:val="666CB6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FF076A3"/>
    <w:multiLevelType w:val="hybridMultilevel"/>
    <w:tmpl w:val="666CB6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2CD2F2E"/>
    <w:multiLevelType w:val="hybridMultilevel"/>
    <w:tmpl w:val="5D70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6BF71A9"/>
    <w:multiLevelType w:val="hybridMultilevel"/>
    <w:tmpl w:val="7FA0BB6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6D9964B7"/>
    <w:multiLevelType w:val="hybridMultilevel"/>
    <w:tmpl w:val="19669E64"/>
    <w:lvl w:ilvl="0" w:tplc="D2FA435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C297FF4"/>
    <w:multiLevelType w:val="hybridMultilevel"/>
    <w:tmpl w:val="06D45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0"/>
  </w:num>
  <w:num w:numId="4">
    <w:abstractNumId w:val="14"/>
  </w:num>
  <w:num w:numId="5">
    <w:abstractNumId w:val="9"/>
  </w:num>
  <w:num w:numId="6">
    <w:abstractNumId w:val="12"/>
  </w:num>
  <w:num w:numId="7">
    <w:abstractNumId w:val="7"/>
  </w:num>
  <w:num w:numId="8">
    <w:abstractNumId w:val="2"/>
  </w:num>
  <w:num w:numId="9">
    <w:abstractNumId w:val="6"/>
  </w:num>
  <w:num w:numId="10">
    <w:abstractNumId w:val="8"/>
  </w:num>
  <w:num w:numId="11">
    <w:abstractNumId w:val="3"/>
  </w:num>
  <w:num w:numId="12">
    <w:abstractNumId w:val="13"/>
  </w:num>
  <w:num w:numId="13">
    <w:abstractNumId w:val="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displayBackgroundShape/>
  <w:defaultTabStop w:val="720"/>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2"/>
  </w:compat>
  <w:rsids>
    <w:rsidRoot w:val="003D2E0C"/>
    <w:rsid w:val="00000EF4"/>
    <w:rsid w:val="00032049"/>
    <w:rsid w:val="000376D9"/>
    <w:rsid w:val="000538F5"/>
    <w:rsid w:val="00092FCC"/>
    <w:rsid w:val="000A56ED"/>
    <w:rsid w:val="000C1135"/>
    <w:rsid w:val="000C7196"/>
    <w:rsid w:val="000E1504"/>
    <w:rsid w:val="000E27E7"/>
    <w:rsid w:val="000F5203"/>
    <w:rsid w:val="0010057A"/>
    <w:rsid w:val="00176651"/>
    <w:rsid w:val="001A3829"/>
    <w:rsid w:val="001C28F7"/>
    <w:rsid w:val="001D019F"/>
    <w:rsid w:val="001D55C2"/>
    <w:rsid w:val="001D7B31"/>
    <w:rsid w:val="00207EB6"/>
    <w:rsid w:val="00216FE7"/>
    <w:rsid w:val="002252D3"/>
    <w:rsid w:val="00234F44"/>
    <w:rsid w:val="00286A22"/>
    <w:rsid w:val="002910AB"/>
    <w:rsid w:val="002A061F"/>
    <w:rsid w:val="002E17B3"/>
    <w:rsid w:val="00302BDE"/>
    <w:rsid w:val="0037153E"/>
    <w:rsid w:val="0038014E"/>
    <w:rsid w:val="00381B20"/>
    <w:rsid w:val="00382BEC"/>
    <w:rsid w:val="003A09C6"/>
    <w:rsid w:val="003A5C1A"/>
    <w:rsid w:val="003A748B"/>
    <w:rsid w:val="003A7648"/>
    <w:rsid w:val="003B4FA1"/>
    <w:rsid w:val="003C1E7E"/>
    <w:rsid w:val="003D2E0C"/>
    <w:rsid w:val="00423D82"/>
    <w:rsid w:val="00450C28"/>
    <w:rsid w:val="00463929"/>
    <w:rsid w:val="00466E74"/>
    <w:rsid w:val="004815FA"/>
    <w:rsid w:val="004914FB"/>
    <w:rsid w:val="004B5A16"/>
    <w:rsid w:val="004D2599"/>
    <w:rsid w:val="004E74FB"/>
    <w:rsid w:val="00510E44"/>
    <w:rsid w:val="005139A0"/>
    <w:rsid w:val="005214E3"/>
    <w:rsid w:val="0053751F"/>
    <w:rsid w:val="00563964"/>
    <w:rsid w:val="00596DA2"/>
    <w:rsid w:val="0059768A"/>
    <w:rsid w:val="005B20D3"/>
    <w:rsid w:val="005B669E"/>
    <w:rsid w:val="005C0B33"/>
    <w:rsid w:val="005C2B91"/>
    <w:rsid w:val="005D3282"/>
    <w:rsid w:val="005D4684"/>
    <w:rsid w:val="005E2BBE"/>
    <w:rsid w:val="005E32B5"/>
    <w:rsid w:val="005F3162"/>
    <w:rsid w:val="006A6874"/>
    <w:rsid w:val="006B35F1"/>
    <w:rsid w:val="006D64F8"/>
    <w:rsid w:val="006D7A22"/>
    <w:rsid w:val="006F0ACB"/>
    <w:rsid w:val="00763E0D"/>
    <w:rsid w:val="007673AC"/>
    <w:rsid w:val="0079177A"/>
    <w:rsid w:val="007B09A8"/>
    <w:rsid w:val="007D6F00"/>
    <w:rsid w:val="007E469C"/>
    <w:rsid w:val="00807421"/>
    <w:rsid w:val="00817867"/>
    <w:rsid w:val="00866DAB"/>
    <w:rsid w:val="00882E25"/>
    <w:rsid w:val="00890E4A"/>
    <w:rsid w:val="008970E3"/>
    <w:rsid w:val="008A55A6"/>
    <w:rsid w:val="008A733F"/>
    <w:rsid w:val="008A772F"/>
    <w:rsid w:val="008E01C1"/>
    <w:rsid w:val="008F1180"/>
    <w:rsid w:val="008F4264"/>
    <w:rsid w:val="008F6C55"/>
    <w:rsid w:val="00910144"/>
    <w:rsid w:val="00927D2B"/>
    <w:rsid w:val="009631AF"/>
    <w:rsid w:val="009A6664"/>
    <w:rsid w:val="009C3951"/>
    <w:rsid w:val="009D487A"/>
    <w:rsid w:val="00A25CD7"/>
    <w:rsid w:val="00A450A8"/>
    <w:rsid w:val="00A76A86"/>
    <w:rsid w:val="00A9535D"/>
    <w:rsid w:val="00AB2C77"/>
    <w:rsid w:val="00AC61F6"/>
    <w:rsid w:val="00AE7F9E"/>
    <w:rsid w:val="00B1113D"/>
    <w:rsid w:val="00B20226"/>
    <w:rsid w:val="00B34156"/>
    <w:rsid w:val="00B567A9"/>
    <w:rsid w:val="00B56E5E"/>
    <w:rsid w:val="00B8781F"/>
    <w:rsid w:val="00B90848"/>
    <w:rsid w:val="00B9797D"/>
    <w:rsid w:val="00BD2C2F"/>
    <w:rsid w:val="00BE38EF"/>
    <w:rsid w:val="00BF1A72"/>
    <w:rsid w:val="00C35676"/>
    <w:rsid w:val="00CD30E5"/>
    <w:rsid w:val="00CF3A77"/>
    <w:rsid w:val="00CF62B8"/>
    <w:rsid w:val="00D02C96"/>
    <w:rsid w:val="00D22897"/>
    <w:rsid w:val="00D3227E"/>
    <w:rsid w:val="00D8464B"/>
    <w:rsid w:val="00DE0AAD"/>
    <w:rsid w:val="00DF4BDF"/>
    <w:rsid w:val="00E067E1"/>
    <w:rsid w:val="00E33A2B"/>
    <w:rsid w:val="00E60772"/>
    <w:rsid w:val="00E6110D"/>
    <w:rsid w:val="00EC0EEE"/>
    <w:rsid w:val="00EC5AD7"/>
    <w:rsid w:val="00EC6FE9"/>
    <w:rsid w:val="00F1595C"/>
    <w:rsid w:val="00F747F6"/>
    <w:rsid w:val="00F83C59"/>
    <w:rsid w:val="00FA5F84"/>
    <w:rsid w:val="00FB2859"/>
    <w:rsid w:val="00FB6419"/>
    <w:rsid w:val="00FC496E"/>
    <w:rsid w:val="00FD5963"/>
    <w:rsid w:val="00FE5B54"/>
    <w:rsid w:val="00FF7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f39,#ffce85,#fe86fe,#6cf,#f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EC"/>
    <w:pPr>
      <w:widowControl w:val="0"/>
      <w:autoSpaceDE w:val="0"/>
      <w:autoSpaceDN w:val="0"/>
      <w:adjustRightInd w:val="0"/>
    </w:pPr>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82BEC"/>
    <w:pPr>
      <w:tabs>
        <w:tab w:val="center" w:pos="4153"/>
        <w:tab w:val="right" w:pos="8306"/>
      </w:tabs>
    </w:pPr>
  </w:style>
  <w:style w:type="paragraph" w:styleId="Footer">
    <w:name w:val="footer"/>
    <w:basedOn w:val="Normal"/>
    <w:link w:val="FooterChar"/>
    <w:rsid w:val="00382BEC"/>
    <w:pPr>
      <w:tabs>
        <w:tab w:val="center" w:pos="4153"/>
        <w:tab w:val="right" w:pos="8306"/>
      </w:tabs>
    </w:pPr>
    <w:rPr>
      <w:rFonts w:cs="Times New Roman"/>
    </w:rPr>
  </w:style>
  <w:style w:type="paragraph" w:styleId="BodyText">
    <w:name w:val="Body Text"/>
    <w:basedOn w:val="Normal"/>
    <w:semiHidden/>
    <w:rsid w:val="00382BEC"/>
    <w:pPr>
      <w:jc w:val="center"/>
    </w:pPr>
    <w:rPr>
      <w:b/>
      <w:sz w:val="28"/>
      <w:szCs w:val="28"/>
    </w:rPr>
  </w:style>
  <w:style w:type="paragraph" w:styleId="BodyText2">
    <w:name w:val="Body Text 2"/>
    <w:basedOn w:val="Normal"/>
    <w:link w:val="BodyText2Char"/>
    <w:semiHidden/>
    <w:rsid w:val="00382BEC"/>
    <w:pPr>
      <w:shd w:val="clear" w:color="auto" w:fill="FFFFFF"/>
      <w:spacing w:line="230" w:lineRule="exact"/>
    </w:pPr>
    <w:rPr>
      <w:rFonts w:cs="Times New Roman"/>
      <w:spacing w:val="-2"/>
    </w:rPr>
  </w:style>
  <w:style w:type="character" w:styleId="Hyperlink">
    <w:name w:val="Hyperlink"/>
    <w:semiHidden/>
    <w:rsid w:val="00382BEC"/>
    <w:rPr>
      <w:color w:val="0000FF"/>
      <w:u w:val="single"/>
    </w:rPr>
  </w:style>
  <w:style w:type="paragraph" w:styleId="BodyText3">
    <w:name w:val="Body Text 3"/>
    <w:basedOn w:val="Normal"/>
    <w:semiHidden/>
    <w:rsid w:val="00382BEC"/>
    <w:rPr>
      <w:b/>
      <w:bCs/>
      <w:sz w:val="28"/>
    </w:rPr>
  </w:style>
  <w:style w:type="table" w:styleId="TableGrid">
    <w:name w:val="Table Grid"/>
    <w:basedOn w:val="TableNormal"/>
    <w:uiPriority w:val="59"/>
    <w:rsid w:val="00A95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35D"/>
    <w:rPr>
      <w:rFonts w:ascii="Tahoma" w:hAnsi="Tahoma" w:cs="Times New Roman"/>
      <w:sz w:val="16"/>
      <w:szCs w:val="16"/>
    </w:rPr>
  </w:style>
  <w:style w:type="character" w:customStyle="1" w:styleId="BalloonTextChar">
    <w:name w:val="Balloon Text Char"/>
    <w:link w:val="BalloonText"/>
    <w:uiPriority w:val="99"/>
    <w:semiHidden/>
    <w:rsid w:val="00A9535D"/>
    <w:rPr>
      <w:rFonts w:ascii="Tahoma" w:hAnsi="Tahoma" w:cs="Tahoma"/>
      <w:sz w:val="16"/>
      <w:szCs w:val="16"/>
      <w:lang w:val="en-US" w:eastAsia="en-US"/>
    </w:rPr>
  </w:style>
  <w:style w:type="paragraph" w:styleId="ListParagraph">
    <w:name w:val="List Paragraph"/>
    <w:basedOn w:val="Normal"/>
    <w:uiPriority w:val="34"/>
    <w:qFormat/>
    <w:rsid w:val="0059768A"/>
    <w:pPr>
      <w:widowControl/>
      <w:autoSpaceDE/>
      <w:autoSpaceDN/>
      <w:adjustRightInd/>
      <w:ind w:left="720"/>
    </w:pPr>
    <w:rPr>
      <w:rFonts w:ascii="Calibri" w:eastAsia="Calibri" w:hAnsi="Calibri" w:cs="Calibri"/>
      <w:sz w:val="22"/>
      <w:szCs w:val="22"/>
      <w:lang w:val="en-GB" w:eastAsia="en-GB"/>
    </w:rPr>
  </w:style>
  <w:style w:type="character" w:customStyle="1" w:styleId="BodyText2Char">
    <w:name w:val="Body Text 2 Char"/>
    <w:link w:val="BodyText2"/>
    <w:semiHidden/>
    <w:rsid w:val="00CD30E5"/>
    <w:rPr>
      <w:rFonts w:ascii="Arial" w:hAnsi="Arial" w:cs="Arial"/>
      <w:spacing w:val="-2"/>
      <w:shd w:val="clear" w:color="auto" w:fill="FFFFFF"/>
    </w:rPr>
  </w:style>
  <w:style w:type="character" w:customStyle="1" w:styleId="FooterChar">
    <w:name w:val="Footer Char"/>
    <w:link w:val="Footer"/>
    <w:rsid w:val="00D3227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3021">
      <w:bodyDiv w:val="1"/>
      <w:marLeft w:val="0"/>
      <w:marRight w:val="0"/>
      <w:marTop w:val="0"/>
      <w:marBottom w:val="0"/>
      <w:divBdr>
        <w:top w:val="none" w:sz="0" w:space="0" w:color="auto"/>
        <w:left w:val="none" w:sz="0" w:space="0" w:color="auto"/>
        <w:bottom w:val="none" w:sz="0" w:space="0" w:color="auto"/>
        <w:right w:val="none" w:sz="0" w:space="0" w:color="auto"/>
      </w:divBdr>
    </w:div>
    <w:div w:id="594674237">
      <w:bodyDiv w:val="1"/>
      <w:marLeft w:val="0"/>
      <w:marRight w:val="0"/>
      <w:marTop w:val="0"/>
      <w:marBottom w:val="0"/>
      <w:divBdr>
        <w:top w:val="none" w:sz="0" w:space="0" w:color="auto"/>
        <w:left w:val="none" w:sz="0" w:space="0" w:color="auto"/>
        <w:bottom w:val="none" w:sz="0" w:space="0" w:color="auto"/>
        <w:right w:val="none" w:sz="0" w:space="0" w:color="auto"/>
      </w:divBdr>
    </w:div>
    <w:div w:id="600184611">
      <w:bodyDiv w:val="1"/>
      <w:marLeft w:val="0"/>
      <w:marRight w:val="0"/>
      <w:marTop w:val="0"/>
      <w:marBottom w:val="0"/>
      <w:divBdr>
        <w:top w:val="none" w:sz="0" w:space="0" w:color="auto"/>
        <w:left w:val="none" w:sz="0" w:space="0" w:color="auto"/>
        <w:bottom w:val="none" w:sz="0" w:space="0" w:color="auto"/>
        <w:right w:val="none" w:sz="0" w:space="0" w:color="auto"/>
      </w:divBdr>
    </w:div>
    <w:div w:id="751900108">
      <w:bodyDiv w:val="1"/>
      <w:marLeft w:val="0"/>
      <w:marRight w:val="0"/>
      <w:marTop w:val="0"/>
      <w:marBottom w:val="0"/>
      <w:divBdr>
        <w:top w:val="none" w:sz="0" w:space="0" w:color="auto"/>
        <w:left w:val="none" w:sz="0" w:space="0" w:color="auto"/>
        <w:bottom w:val="none" w:sz="0" w:space="0" w:color="auto"/>
        <w:right w:val="none" w:sz="0" w:space="0" w:color="auto"/>
      </w:divBdr>
    </w:div>
    <w:div w:id="866260599">
      <w:bodyDiv w:val="1"/>
      <w:marLeft w:val="0"/>
      <w:marRight w:val="0"/>
      <w:marTop w:val="0"/>
      <w:marBottom w:val="0"/>
      <w:divBdr>
        <w:top w:val="none" w:sz="0" w:space="0" w:color="auto"/>
        <w:left w:val="none" w:sz="0" w:space="0" w:color="auto"/>
        <w:bottom w:val="none" w:sz="0" w:space="0" w:color="auto"/>
        <w:right w:val="none" w:sz="0" w:space="0" w:color="auto"/>
      </w:divBdr>
    </w:div>
    <w:div w:id="975984478">
      <w:bodyDiv w:val="1"/>
      <w:marLeft w:val="0"/>
      <w:marRight w:val="0"/>
      <w:marTop w:val="0"/>
      <w:marBottom w:val="0"/>
      <w:divBdr>
        <w:top w:val="none" w:sz="0" w:space="0" w:color="auto"/>
        <w:left w:val="none" w:sz="0" w:space="0" w:color="auto"/>
        <w:bottom w:val="none" w:sz="0" w:space="0" w:color="auto"/>
        <w:right w:val="none" w:sz="0" w:space="0" w:color="auto"/>
      </w:divBdr>
    </w:div>
    <w:div w:id="1090930953">
      <w:bodyDiv w:val="1"/>
      <w:marLeft w:val="0"/>
      <w:marRight w:val="0"/>
      <w:marTop w:val="0"/>
      <w:marBottom w:val="0"/>
      <w:divBdr>
        <w:top w:val="none" w:sz="0" w:space="0" w:color="auto"/>
        <w:left w:val="none" w:sz="0" w:space="0" w:color="auto"/>
        <w:bottom w:val="none" w:sz="0" w:space="0" w:color="auto"/>
        <w:right w:val="none" w:sz="0" w:space="0" w:color="auto"/>
      </w:divBdr>
    </w:div>
    <w:div w:id="1099301898">
      <w:bodyDiv w:val="1"/>
      <w:marLeft w:val="0"/>
      <w:marRight w:val="0"/>
      <w:marTop w:val="0"/>
      <w:marBottom w:val="0"/>
      <w:divBdr>
        <w:top w:val="none" w:sz="0" w:space="0" w:color="auto"/>
        <w:left w:val="none" w:sz="0" w:space="0" w:color="auto"/>
        <w:bottom w:val="none" w:sz="0" w:space="0" w:color="auto"/>
        <w:right w:val="none" w:sz="0" w:space="0" w:color="auto"/>
      </w:divBdr>
    </w:div>
    <w:div w:id="1117329793">
      <w:bodyDiv w:val="1"/>
      <w:marLeft w:val="0"/>
      <w:marRight w:val="0"/>
      <w:marTop w:val="0"/>
      <w:marBottom w:val="0"/>
      <w:divBdr>
        <w:top w:val="none" w:sz="0" w:space="0" w:color="auto"/>
        <w:left w:val="none" w:sz="0" w:space="0" w:color="auto"/>
        <w:bottom w:val="none" w:sz="0" w:space="0" w:color="auto"/>
        <w:right w:val="none" w:sz="0" w:space="0" w:color="auto"/>
      </w:divBdr>
    </w:div>
    <w:div w:id="1294600547">
      <w:bodyDiv w:val="1"/>
      <w:marLeft w:val="0"/>
      <w:marRight w:val="0"/>
      <w:marTop w:val="0"/>
      <w:marBottom w:val="0"/>
      <w:divBdr>
        <w:top w:val="none" w:sz="0" w:space="0" w:color="auto"/>
        <w:left w:val="none" w:sz="0" w:space="0" w:color="auto"/>
        <w:bottom w:val="none" w:sz="0" w:space="0" w:color="auto"/>
        <w:right w:val="none" w:sz="0" w:space="0" w:color="auto"/>
      </w:divBdr>
    </w:div>
    <w:div w:id="1792288711">
      <w:bodyDiv w:val="1"/>
      <w:marLeft w:val="0"/>
      <w:marRight w:val="0"/>
      <w:marTop w:val="0"/>
      <w:marBottom w:val="0"/>
      <w:divBdr>
        <w:top w:val="none" w:sz="0" w:space="0" w:color="auto"/>
        <w:left w:val="none" w:sz="0" w:space="0" w:color="auto"/>
        <w:bottom w:val="none" w:sz="0" w:space="0" w:color="auto"/>
        <w:right w:val="none" w:sz="0" w:space="0" w:color="auto"/>
      </w:divBdr>
      <w:divsChild>
        <w:div w:id="7873841">
          <w:marLeft w:val="547"/>
          <w:marRight w:val="0"/>
          <w:marTop w:val="77"/>
          <w:marBottom w:val="0"/>
          <w:divBdr>
            <w:top w:val="none" w:sz="0" w:space="0" w:color="auto"/>
            <w:left w:val="none" w:sz="0" w:space="0" w:color="auto"/>
            <w:bottom w:val="none" w:sz="0" w:space="0" w:color="auto"/>
            <w:right w:val="none" w:sz="0" w:space="0" w:color="auto"/>
          </w:divBdr>
        </w:div>
        <w:div w:id="1380545511">
          <w:marLeft w:val="547"/>
          <w:marRight w:val="0"/>
          <w:marTop w:val="77"/>
          <w:marBottom w:val="0"/>
          <w:divBdr>
            <w:top w:val="none" w:sz="0" w:space="0" w:color="auto"/>
            <w:left w:val="none" w:sz="0" w:space="0" w:color="auto"/>
            <w:bottom w:val="none" w:sz="0" w:space="0" w:color="auto"/>
            <w:right w:val="none" w:sz="0" w:space="0" w:color="auto"/>
          </w:divBdr>
        </w:div>
        <w:div w:id="1405057712">
          <w:marLeft w:val="547"/>
          <w:marRight w:val="0"/>
          <w:marTop w:val="77"/>
          <w:marBottom w:val="0"/>
          <w:divBdr>
            <w:top w:val="none" w:sz="0" w:space="0" w:color="auto"/>
            <w:left w:val="none" w:sz="0" w:space="0" w:color="auto"/>
            <w:bottom w:val="none" w:sz="0" w:space="0" w:color="auto"/>
            <w:right w:val="none" w:sz="0" w:space="0" w:color="auto"/>
          </w:divBdr>
        </w:div>
      </w:divsChild>
    </w:div>
    <w:div w:id="20678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ibi.e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oddrinkeurope.eu/publication/fooddrinkeurope-updates-industry-wide-toolbox-to-help-manufacturers-furth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6014</Characters>
  <Application>Microsoft Office Word</Application>
  <DocSecurity>0</DocSecurity>
  <Lines>214</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6882</CharactersWithSpaces>
  <SharedDoc>false</SharedDoc>
  <HLinks>
    <vt:vector size="12" baseType="variant">
      <vt:variant>
        <vt:i4>7340074</vt:i4>
      </vt:variant>
      <vt:variant>
        <vt:i4>3</vt:i4>
      </vt:variant>
      <vt:variant>
        <vt:i4>0</vt:i4>
      </vt:variant>
      <vt:variant>
        <vt:i4>5</vt:i4>
      </vt:variant>
      <vt:variant>
        <vt:lpwstr>http://www.fooddrinkeurope.eu/publication/ciaa-acrylamide-toolbox-rev-12-february-2009/</vt:lpwstr>
      </vt:variant>
      <vt:variant>
        <vt:lpwstr/>
      </vt:variant>
      <vt:variant>
        <vt:i4>4718694</vt:i4>
      </vt:variant>
      <vt:variant>
        <vt:i4>0</vt:i4>
      </vt:variant>
      <vt:variant>
        <vt:i4>0</vt:i4>
      </vt:variant>
      <vt:variant>
        <vt:i4>5</vt:i4>
      </vt:variant>
      <vt:variant>
        <vt:lpwstr>mailto:info@aibi.eu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DÖRING Susanne</dc:creator>
  <cp:lastModifiedBy>Windows User</cp:lastModifiedBy>
  <cp:revision>2</cp:revision>
  <cp:lastPrinted>2011-12-22T10:59:00Z</cp:lastPrinted>
  <dcterms:created xsi:type="dcterms:W3CDTF">2012-05-30T20:03:00Z</dcterms:created>
  <dcterms:modified xsi:type="dcterms:W3CDTF">2012-05-30T20:03:00Z</dcterms:modified>
</cp:coreProperties>
</file>